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841" w:rsidRPr="006F7753" w:rsidRDefault="00520841" w:rsidP="00E72104">
      <w:pPr>
        <w:spacing w:before="120" w:after="120"/>
        <w:jc w:val="center"/>
        <w:rPr>
          <w:b/>
        </w:rPr>
      </w:pPr>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8F7D77" w:rsidP="00E72104">
      <w:pPr>
        <w:spacing w:before="120" w:after="120"/>
        <w:jc w:val="center"/>
        <w:rPr>
          <w:b/>
          <w:color w:val="0070C0"/>
        </w:rPr>
      </w:pPr>
      <w:r>
        <w:rPr>
          <w:b/>
          <w:color w:val="0070C0"/>
        </w:rPr>
        <w:t>USS ANCHORAGE (LPD-23)</w:t>
      </w:r>
    </w:p>
    <w:p w:rsidR="00520841" w:rsidRDefault="00E76D1A" w:rsidP="00E72104">
      <w:pPr>
        <w:spacing w:before="120" w:after="120"/>
        <w:jc w:val="center"/>
        <w:rPr>
          <w:b/>
        </w:rPr>
      </w:pPr>
      <w:r>
        <w:rPr>
          <w:b/>
        </w:rPr>
        <w:t>N000</w:t>
      </w:r>
      <w:r w:rsidR="001B7E43">
        <w:rPr>
          <w:b/>
        </w:rPr>
        <w:t>24</w:t>
      </w:r>
      <w:r>
        <w:rPr>
          <w:b/>
        </w:rPr>
        <w:t>-</w:t>
      </w:r>
      <w:r w:rsidR="001B7E43">
        <w:rPr>
          <w:b/>
        </w:rPr>
        <w:t>23</w:t>
      </w:r>
      <w:r w:rsidR="00E84B72">
        <w:rPr>
          <w:b/>
        </w:rPr>
        <w:t>-</w:t>
      </w:r>
      <w:r w:rsidR="005F5189">
        <w:rPr>
          <w:b/>
        </w:rPr>
        <w:t>C</w:t>
      </w:r>
      <w:r w:rsidR="00E84B72">
        <w:rPr>
          <w:b/>
        </w:rPr>
        <w:t>-</w:t>
      </w:r>
      <w:r w:rsidR="001B7E43">
        <w:rPr>
          <w:b/>
        </w:rPr>
        <w:t>4407</w:t>
      </w:r>
    </w:p>
    <w:p w:rsidR="00DA4584" w:rsidRPr="006F7753" w:rsidRDefault="00DA4584" w:rsidP="00E72104">
      <w:pPr>
        <w:spacing w:before="120" w:after="120"/>
        <w:jc w:val="cente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Pr="00394B9A" w:rsidRDefault="00394B9A" w:rsidP="00E72104">
      <w:pPr>
        <w:spacing w:before="120" w:after="120"/>
        <w:rPr>
          <w:szCs w:val="24"/>
        </w:rPr>
      </w:pPr>
      <w:bookmarkStart w:id="0" w:name="_GoBack"/>
      <w:bookmarkEnd w:id="0"/>
    </w:p>
    <w:p w:rsidR="00D41451" w:rsidRPr="00394B9A" w:rsidRDefault="00D41451" w:rsidP="00E72104">
      <w:pPr>
        <w:spacing w:before="120" w:after="120"/>
        <w:rPr>
          <w:szCs w:val="24"/>
        </w:rPr>
      </w:pPr>
    </w:p>
    <w:p w:rsidR="00D41451" w:rsidRDefault="00D41451" w:rsidP="00E72104">
      <w:pPr>
        <w:spacing w:before="120" w:after="120"/>
        <w:rPr>
          <w:szCs w:val="24"/>
        </w:rPr>
      </w:pPr>
    </w:p>
    <w:p w:rsidR="00D41451" w:rsidRPr="006F7753" w:rsidRDefault="00D41451" w:rsidP="00E72104">
      <w:pPr>
        <w:spacing w:before="120" w:after="120"/>
        <w:rPr>
          <w:sz w:val="16"/>
        </w:rPr>
      </w:pPr>
    </w:p>
    <w:p w:rsidR="006E7AE1" w:rsidRPr="006F7753" w:rsidRDefault="006E7AE1" w:rsidP="00E72104">
      <w:pPr>
        <w:widowControl/>
        <w:rPr>
          <w:b/>
          <w:color w:val="002060"/>
          <w:sz w:val="16"/>
          <w:szCs w:val="16"/>
        </w:rPr>
      </w:pPr>
      <w:r w:rsidRPr="006F7753">
        <w:rPr>
          <w:b/>
          <w:color w:val="002060"/>
          <w:sz w:val="16"/>
          <w:szCs w:val="16"/>
        </w:rPr>
        <w:br w:type="page"/>
      </w:r>
    </w:p>
    <w:p w:rsidR="00520841" w:rsidRPr="001D6447" w:rsidRDefault="00F27E0D" w:rsidP="00E72104">
      <w:pPr>
        <w:spacing w:before="120" w:after="120"/>
        <w:rPr>
          <w:color w:val="0070C0"/>
          <w:sz w:val="16"/>
        </w:rPr>
      </w:pPr>
      <w:r w:rsidRPr="001D6447">
        <w:rPr>
          <w:b/>
          <w:color w:val="0070C0"/>
          <w:sz w:val="16"/>
          <w:szCs w:val="16"/>
        </w:rPr>
        <w:lastRenderedPageBreak/>
        <w:t>PRIME CONTRACT CLAUSES – N00024</w:t>
      </w:r>
      <w:r w:rsidR="00E84B72" w:rsidRPr="001D6447">
        <w:rPr>
          <w:b/>
          <w:color w:val="0070C0"/>
          <w:sz w:val="16"/>
          <w:szCs w:val="16"/>
        </w:rPr>
        <w:t>-</w:t>
      </w:r>
      <w:r w:rsidR="00DA4584" w:rsidRPr="001D6447">
        <w:rPr>
          <w:b/>
          <w:color w:val="0070C0"/>
          <w:sz w:val="16"/>
          <w:szCs w:val="16"/>
        </w:rPr>
        <w:t>16</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4421</w:t>
      </w:r>
    </w:p>
    <w:p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rsidR="00BA6E40" w:rsidRPr="001D6447" w:rsidRDefault="00DC59D2" w:rsidP="00E72104">
      <w:pPr>
        <w:pStyle w:val="Heading2"/>
        <w:spacing w:before="120" w:after="120"/>
        <w:jc w:val="both"/>
        <w:rPr>
          <w:sz w:val="16"/>
          <w:szCs w:val="16"/>
        </w:rPr>
      </w:pPr>
      <w:bookmarkStart w:id="1" w:name="_Toc240960215"/>
      <w:bookmarkStart w:id="2" w:name="_Toc240960302"/>
      <w:bookmarkStart w:id="3" w:name="_Toc271038180"/>
      <w:bookmarkStart w:id="4" w:name="_Toc272484779"/>
      <w:r w:rsidRPr="001D6447">
        <w:rPr>
          <w:i w:val="0"/>
          <w:color w:val="0070C0"/>
          <w:sz w:val="16"/>
          <w:szCs w:val="16"/>
        </w:rPr>
        <w:t>DEFINITIONS</w:t>
      </w:r>
      <w:bookmarkEnd w:id="1"/>
      <w:bookmarkEnd w:id="2"/>
      <w:bookmarkEnd w:id="3"/>
      <w:bookmarkEnd w:id="4"/>
    </w:p>
    <w:p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your </w:t>
      </w:r>
      <w:r>
        <w:rPr>
          <w:b w:val="0"/>
          <w:i w:val="0"/>
          <w:sz w:val="16"/>
          <w:szCs w:val="16"/>
        </w:rPr>
        <w:t>price</w:t>
      </w:r>
      <w:r w:rsidRPr="008F7D77">
        <w:rPr>
          <w:b w:val="0"/>
          <w:i w:val="0"/>
          <w:sz w:val="16"/>
          <w:szCs w:val="16"/>
        </w:rPr>
        <w:t>. Contractors will not receive additional compensation for delays, disruptions, or security precautions associated with this force protection condition level</w:t>
      </w:r>
      <w:r w:rsidRPr="001D6447">
        <w:rPr>
          <w:b w:val="0"/>
          <w:i w:val="0"/>
          <w:sz w:val="16"/>
          <w:szCs w:val="16"/>
        </w:rPr>
        <w:t>.</w:t>
      </w:r>
    </w:p>
    <w:p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rsidR="008F7D77" w:rsidRDefault="008F7D77" w:rsidP="008F7D77">
      <w:pPr>
        <w:pStyle w:val="BodyText"/>
        <w:spacing w:before="120" w:after="120"/>
        <w:rPr>
          <w:b w:val="0"/>
          <w:i w:val="0"/>
          <w:sz w:val="16"/>
          <w:szCs w:val="16"/>
        </w:rPr>
      </w:pPr>
      <w:r>
        <w:rPr>
          <w:b w:val="0"/>
          <w:i w:val="0"/>
          <w:sz w:val="16"/>
          <w:szCs w:val="16"/>
        </w:rPr>
        <w:t xml:space="preserve">The Contractor may be required to participate in a </w:t>
      </w:r>
      <w:r w:rsidRPr="008F7D77">
        <w:rPr>
          <w:b w:val="0"/>
          <w:i w:val="0"/>
          <w:sz w:val="16"/>
          <w:szCs w:val="16"/>
        </w:rPr>
        <w:t xml:space="preserve">full scale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For the Contractor, this drill will require all production work to stop for a minimum of 4 hours during day shift on the selected day. As part of the drill, the Contractor is required to evacuate the ship, provide a muster report of all personnel safely off ship, support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rsidR="00802CE8" w:rsidRPr="001D6447" w:rsidRDefault="00802CE8" w:rsidP="008F7D77">
      <w:pPr>
        <w:pStyle w:val="BodyText"/>
        <w:spacing w:before="120" w:after="120"/>
        <w:rPr>
          <w:b w:val="0"/>
          <w:i w:val="0"/>
          <w:sz w:val="16"/>
          <w:szCs w:val="16"/>
        </w:rPr>
      </w:pPr>
    </w:p>
    <w:p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rsidR="00802CE8" w:rsidRPr="001D6447" w:rsidRDefault="00802CE8" w:rsidP="00802CE8">
      <w:pPr>
        <w:spacing w:before="120" w:after="120"/>
        <w:jc w:val="both"/>
        <w:rPr>
          <w:snapToGrid w:val="0"/>
          <w:sz w:val="16"/>
          <w:szCs w:val="16"/>
        </w:rPr>
      </w:pPr>
      <w:r w:rsidRPr="001D6447">
        <w:rPr>
          <w:snapToGrid w:val="0"/>
          <w:sz w:val="16"/>
          <w:szCs w:val="16"/>
        </w:rPr>
        <w:t>The possession and use of portable electronic devices (PEDs) within the confines of any Vessel, or in Buyer’s Facility, Government Facility or Seller's facility where equipment removed from the Vessel is being worked, is strictly controlled. PEDs include: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controlled network.  PEDs may not be used to store or process any digital information associated with the conduct of the Contract without written authorization from Buyer.</w:t>
      </w:r>
    </w:p>
    <w:p w:rsidR="001D6447" w:rsidRPr="001D6447" w:rsidRDefault="001D6447" w:rsidP="008F7D77">
      <w:pPr>
        <w:pStyle w:val="BodyText"/>
        <w:spacing w:before="120" w:after="120"/>
        <w:rPr>
          <w:b w:val="0"/>
          <w:i w:val="0"/>
          <w:sz w:val="16"/>
          <w:szCs w:val="16"/>
        </w:rPr>
      </w:pPr>
    </w:p>
    <w:p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rsidR="0008609D" w:rsidRPr="001D6447" w:rsidRDefault="00F10B46" w:rsidP="00887735">
      <w:pPr>
        <w:spacing w:before="120" w:after="120" w:line="230" w:lineRule="exact"/>
        <w:ind w:right="144"/>
        <w:jc w:val="both"/>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rsidR="00F10B46" w:rsidRPr="001D6447"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Seller shall coordinate the work effort with the Buyer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It is expected that contractor employees will have received training from their employer on hazards associated with the areas in which they will be working and know what to do in order to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w:t>
      </w:r>
      <w:r w:rsidRPr="001D6447">
        <w:rPr>
          <w:sz w:val="16"/>
          <w:szCs w:val="16"/>
        </w:rPr>
        <w:lastRenderedPageBreak/>
        <w:t xml:space="preserve">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For Submarines, any use of mercury containing items must be approved as required by the Nuclear Powered Submarine Atmosphere Control Manual (S9510-AB-ATM-010/U) Volume 1.</w:t>
      </w:r>
    </w:p>
    <w:p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Seller shall check any hardware surfaces in the above systems which are known or suspected to have come in contact with mercury or mercury compounds for evidence of structural degradation and external mercury contamination. The existence of external mercury contamination can be determined following MIL-STD-2041D entitled Control of Detrimental Materials.</w:t>
      </w:r>
    </w:p>
    <w:p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w:t>
      </w:r>
      <w:r w:rsidRPr="001D6447">
        <w:rPr>
          <w:sz w:val="16"/>
          <w:szCs w:val="16"/>
        </w:rPr>
        <w:lastRenderedPageBreak/>
        <w:t>Directorate (SEA 08) in the distribution. Reports must be in letter form and include the date and details of the contact, the surfaces contacted, the recovery actions taken, and the status of the affected surfaces.</w:t>
      </w:r>
    </w:p>
    <w:p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(MAR 2019</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Materials contained in ship systems are not waste until after removal from the system.</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by the combined physical actions of Navy and</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Hazardous Waste Manifests - For wastes described in (c)(2), (c)(3), and (c)(4) above (and (c)(5) as applicable), Seller shall sign the generator certification on the Uniform Hazardous Waste Manifest whenever use of the Manifest is required for disposal. Seller shall obtain obtain concurrence with the categorization of wastes under paragraphs (c)(3) and (c)(4) above before completion of the manifest. Manifests prepared pursuant to paragraph (c)(1) above shall be presented to the NSA for completion after the hazardous waste has been identified.</w:t>
      </w:r>
    </w:p>
    <w:p w:rsidR="00797D13" w:rsidRPr="001D6447" w:rsidRDefault="00797D13" w:rsidP="00797D13">
      <w:pPr>
        <w:spacing w:before="120" w:after="120"/>
        <w:ind w:left="720" w:hanging="360"/>
        <w:jc w:val="both"/>
        <w:rPr>
          <w:b/>
          <w:color w:val="0070C0"/>
          <w:sz w:val="16"/>
          <w:szCs w:val="16"/>
        </w:rPr>
      </w:pPr>
      <w:r w:rsidRPr="001D6447">
        <w:rPr>
          <w:sz w:val="16"/>
          <w:szCs w:val="16"/>
        </w:rPr>
        <w:t>(8)</w:t>
      </w:r>
      <w:r w:rsidRPr="001D6447">
        <w:rPr>
          <w:sz w:val="16"/>
          <w:szCs w:val="16"/>
        </w:rPr>
        <w:tab/>
        <w:t>For purposes of paragraphs (c)(2) and (3) herein, if Seller, while performing work at a Government facility, cannot obtain a separate generator identification number from the State in which the availability will be performed, Seller shall notify Buyer within 2 business days of receipt of written notification by the State.</w:t>
      </w:r>
    </w:p>
    <w:p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w:t>
      </w:r>
      <w:r w:rsidRPr="001D6447">
        <w:rPr>
          <w:b w:val="0"/>
          <w:i w:val="0"/>
          <w:sz w:val="16"/>
          <w:szCs w:val="16"/>
        </w:rPr>
        <w:lastRenderedPageBreak/>
        <w:t>affiliate, successor, or assign of Seller; and (5) reproduce the restrictive stamp, marking, or legend on each use of the data or software whether in whole or in part.</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(i)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 xml:space="preserve">(b) </w:t>
      </w:r>
      <w:r w:rsidRPr="001D6447">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(1)</w:t>
      </w:r>
      <w:r w:rsidRPr="001D6447">
        <w:rPr>
          <w:b w:val="0"/>
          <w:i w:val="0"/>
          <w:sz w:val="16"/>
          <w:szCs w:val="16"/>
        </w:rPr>
        <w:tab/>
        <w:t>A description (i)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 other identifiable hardware, which are made excess by the change and which are not to be retained by the Seller, are to be listed for later disposition;</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(2)</w:t>
      </w:r>
      <w:r w:rsidRPr="001D6447">
        <w:rPr>
          <w:b w:val="0"/>
          <w:i w:val="0"/>
          <w:sz w:val="16"/>
          <w:szCs w:val="16"/>
        </w:rPr>
        <w:tab/>
        <w:t>Description of work necessary to undo work already completed which has been deleted by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(3)</w:t>
      </w:r>
      <w:r w:rsidRPr="001D6447">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(4)</w:t>
      </w:r>
      <w:r w:rsidRPr="001D6447">
        <w:rPr>
          <w:b w:val="0"/>
          <w:i w:val="0"/>
          <w:sz w:val="16"/>
          <w:szCs w:val="16"/>
        </w:rPr>
        <w:tab/>
        <w:t>Description of interference and inefficiencies in performing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(5)</w:t>
      </w:r>
      <w:r w:rsidRPr="001D6447">
        <w:rPr>
          <w:b w:val="0"/>
          <w:i w:val="0"/>
          <w:sz w:val="16"/>
          <w:szCs w:val="16"/>
        </w:rPr>
        <w:tab/>
        <w:t>Description of disruption attributable solely to the change; which description shall include the following information: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w:t>
      </w:r>
      <w:r w:rsidRPr="001D6447">
        <w:rPr>
          <w:b w:val="0"/>
          <w:i w:val="0"/>
          <w:sz w:val="16"/>
          <w:szCs w:val="16"/>
        </w:rPr>
        <w:tab/>
        <w:t>Description of each identifiable element of disruption and how work has been, or may be, disrupted;</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w:t>
      </w:r>
      <w:r w:rsidRPr="001D6447">
        <w:rPr>
          <w:b w:val="0"/>
          <w:i w:val="0"/>
          <w:sz w:val="16"/>
          <w:szCs w:val="16"/>
        </w:rPr>
        <w:tab/>
        <w:t>The calendar period of time during which disruption occurred, or may occur;</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(iii)</w:t>
      </w:r>
      <w:r w:rsidRPr="001D6447">
        <w:rPr>
          <w:b w:val="0"/>
          <w:i w:val="0"/>
          <w:sz w:val="16"/>
          <w:szCs w:val="16"/>
        </w:rPr>
        <w:tab/>
        <w:t>Area(s) of the Seller’s operations where disruption occurred, or may occur;</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(iv)</w:t>
      </w:r>
      <w:r w:rsidRPr="001D6447">
        <w:rPr>
          <w:b w:val="0"/>
          <w:i w:val="0"/>
          <w:sz w:val="16"/>
          <w:szCs w:val="16"/>
        </w:rPr>
        <w:tab/>
        <w:t>Trade(s) or functions disrupted, with a breakdown of manhours and material for each trade or function;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(v)</w:t>
      </w:r>
      <w:r w:rsidRPr="001D6447">
        <w:rPr>
          <w:b w:val="0"/>
          <w:i w:val="0"/>
          <w:sz w:val="16"/>
          <w:szCs w:val="16"/>
        </w:rPr>
        <w:tab/>
        <w:t>Scheduling of trades before, during, and after period of disruption insofar as such scheduling may relate to or be affected by the estimated disruption;</w:t>
      </w:r>
    </w:p>
    <w:p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 xml:space="preserve"> (vi)</w:t>
      </w:r>
      <w:r w:rsidRPr="001D6447">
        <w:rPr>
          <w:b w:val="0"/>
          <w:i w:val="0"/>
          <w:sz w:val="16"/>
          <w:szCs w:val="16"/>
        </w:rPr>
        <w:tab/>
        <w:t>Description of any measures taken to lessen the disruptive effect of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(6)</w:t>
      </w:r>
      <w:r w:rsidRPr="001D6447">
        <w:rPr>
          <w:b w:val="0"/>
          <w:i w:val="0"/>
          <w:sz w:val="16"/>
          <w:szCs w:val="16"/>
        </w:rPr>
        <w:tab/>
        <w:t>Delay in delivery attributable solely to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(7)</w:t>
      </w:r>
      <w:r w:rsidRPr="001D6447">
        <w:rPr>
          <w:b w:val="0"/>
          <w:i w:val="0"/>
          <w:sz w:val="16"/>
          <w:szCs w:val="16"/>
        </w:rPr>
        <w:tab/>
        <w:t>Other work or increased costs attributable to the change;</w:t>
      </w:r>
    </w:p>
    <w:p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rsidR="00802CE8" w:rsidRPr="001D6447" w:rsidRDefault="00802CE8" w:rsidP="00802CE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It is recognized that individual claims for equitable adjustment may not include all of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rsidR="00802CE8" w:rsidRDefault="00802CE8" w:rsidP="00E2650E">
      <w:pPr>
        <w:spacing w:before="120" w:after="120"/>
        <w:jc w:val="both"/>
        <w:rPr>
          <w:b/>
          <w:color w:val="0070C0"/>
          <w:sz w:val="16"/>
          <w:szCs w:val="16"/>
        </w:rPr>
      </w:pPr>
    </w:p>
    <w:p w:rsidR="00802CE8" w:rsidRDefault="00802CE8" w:rsidP="00E2650E">
      <w:pPr>
        <w:spacing w:before="120" w:after="120"/>
        <w:jc w:val="both"/>
        <w:rPr>
          <w:b/>
          <w:color w:val="0070C0"/>
          <w:sz w:val="16"/>
          <w:szCs w:val="16"/>
        </w:rPr>
      </w:pPr>
    </w:p>
    <w:p w:rsidR="00A14339" w:rsidRPr="001D6447" w:rsidRDefault="00A14339" w:rsidP="00E2650E">
      <w:pPr>
        <w:spacing w:before="120" w:after="120"/>
        <w:jc w:val="both"/>
        <w:rPr>
          <w:b/>
          <w:sz w:val="16"/>
          <w:szCs w:val="16"/>
        </w:rPr>
      </w:pPr>
      <w:r w:rsidRPr="001D6447">
        <w:rPr>
          <w:b/>
          <w:color w:val="0070C0"/>
          <w:sz w:val="16"/>
          <w:szCs w:val="16"/>
        </w:rPr>
        <w:lastRenderedPageBreak/>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the Government’s rights with regard to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rsidR="00F41D1C" w:rsidRPr="001D6447" w:rsidRDefault="00F41D1C" w:rsidP="00F41D1C">
      <w:pPr>
        <w:spacing w:before="120" w:after="120"/>
        <w:jc w:val="both"/>
        <w:rPr>
          <w:b/>
          <w:color w:val="0070C0"/>
          <w:sz w:val="16"/>
          <w:szCs w:val="16"/>
        </w:rPr>
      </w:pPr>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rsidR="00F41D1C" w:rsidRPr="001D6447" w:rsidRDefault="00F41D1C" w:rsidP="00F41D1C">
      <w:pPr>
        <w:spacing w:before="120" w:after="120"/>
        <w:jc w:val="both"/>
        <w:rPr>
          <w:sz w:val="16"/>
          <w:szCs w:val="16"/>
        </w:rPr>
      </w:pPr>
      <w:r w:rsidRPr="001D6447">
        <w:rPr>
          <w:sz w:val="16"/>
          <w:szCs w:val="16"/>
        </w:rPr>
        <w:t>In order to ensure that Naval vessels and material are protected during destructive weather</w:t>
      </w:r>
      <w:r w:rsidR="00996656" w:rsidRPr="001D6447">
        <w:rPr>
          <w:sz w:val="16"/>
          <w:szCs w:val="16"/>
        </w:rPr>
        <w:t xml:space="preserve"> such as gales, storms, hurricanes, high winds, heavy snow, ice and high water</w:t>
      </w:r>
      <w:r w:rsidRPr="001D6447">
        <w:rPr>
          <w:sz w:val="16"/>
          <w:szCs w:val="16"/>
        </w:rPr>
        <w:t>, the Seller shall support Buyer’s preparation of a written Heavy Weather Plan (HWP) which assigns responsibilities and prescribes actions to be taken on the approach of and during heavy weather conditions as delineated in SERMC Local Standard Item (LSI) 099-58SE.</w:t>
      </w:r>
    </w:p>
    <w:p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LSI 099-58SE the Seller may submit to Buyer a request for reimbursement for costs resulting from such actions together with any documentation that the Contracting Officer may reasonably require. </w:t>
      </w:r>
    </w:p>
    <w:p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particular format.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the Buyer-generated purchase specificaion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001D65D8" w:rsidRP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(DoDSSP) Building 4, Section D</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rsidR="005B4934" w:rsidRPr="001D6447" w:rsidRDefault="005B4934" w:rsidP="005B4934">
      <w:pPr>
        <w:pStyle w:val="ListParagraph"/>
        <w:spacing w:before="120" w:after="120"/>
        <w:rPr>
          <w:sz w:val="16"/>
          <w:szCs w:val="16"/>
        </w:rPr>
      </w:pPr>
      <w:r w:rsidRPr="001D6447">
        <w:rPr>
          <w:sz w:val="16"/>
          <w:szCs w:val="16"/>
        </w:rPr>
        <w:t>(1) the vessel;</w:t>
      </w:r>
    </w:p>
    <w:p w:rsidR="005B4934" w:rsidRPr="001D6447" w:rsidRDefault="005B4934" w:rsidP="005B4934">
      <w:pPr>
        <w:pStyle w:val="ListParagraph"/>
        <w:spacing w:before="120" w:after="120"/>
        <w:rPr>
          <w:sz w:val="16"/>
          <w:szCs w:val="16"/>
        </w:rPr>
      </w:pPr>
      <w:r w:rsidRPr="001D6447">
        <w:rPr>
          <w:sz w:val="16"/>
          <w:szCs w:val="16"/>
        </w:rPr>
        <w:t>(2) the equipment on the vessel;</w:t>
      </w:r>
    </w:p>
    <w:p w:rsidR="005B4934" w:rsidRPr="001D6447" w:rsidRDefault="005B4934" w:rsidP="005B4934">
      <w:pPr>
        <w:pStyle w:val="ListParagraph"/>
        <w:spacing w:before="120" w:after="120"/>
        <w:rPr>
          <w:sz w:val="16"/>
          <w:szCs w:val="16"/>
        </w:rPr>
      </w:pPr>
      <w:r w:rsidRPr="001D6447">
        <w:rPr>
          <w:sz w:val="16"/>
          <w:szCs w:val="16"/>
        </w:rPr>
        <w:t>(3) movable stores;</w:t>
      </w:r>
    </w:p>
    <w:p w:rsidR="005B4934" w:rsidRPr="001D6447" w:rsidRDefault="005B4934" w:rsidP="005B4934">
      <w:pPr>
        <w:pStyle w:val="ListParagraph"/>
        <w:spacing w:before="120" w:after="120"/>
        <w:rPr>
          <w:sz w:val="16"/>
          <w:szCs w:val="16"/>
        </w:rPr>
      </w:pPr>
      <w:r w:rsidRPr="001D6447">
        <w:rPr>
          <w:sz w:val="16"/>
          <w:szCs w:val="16"/>
        </w:rPr>
        <w:t>(4) cargo; and</w:t>
      </w:r>
    </w:p>
    <w:p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 xml:space="preserve">For purposes of paragraph (b) of the clause entitled "Government Property", notwithstanding any other requirement of this contract, </w:t>
      </w:r>
      <w:r w:rsidRPr="001D6447">
        <w:rPr>
          <w:sz w:val="16"/>
          <w:szCs w:val="16"/>
        </w:rPr>
        <w:lastRenderedPageBreak/>
        <w:t>the following shall not be considered Government Property:</w:t>
      </w:r>
    </w:p>
    <w:p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the vessel;</w:t>
      </w:r>
    </w:p>
    <w:p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the equipment on the vessel;</w:t>
      </w:r>
    </w:p>
    <w:p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rsidR="00AC5882" w:rsidRPr="001D6447"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rsidR="00802CE8" w:rsidRPr="001D6447" w:rsidRDefault="00802CE8" w:rsidP="00802CE8">
      <w:pPr>
        <w:spacing w:before="120" w:after="120"/>
        <w:jc w:val="both"/>
        <w:rPr>
          <w:b/>
          <w:color w:val="0070C0"/>
          <w:sz w:val="16"/>
          <w:szCs w:val="16"/>
        </w:rPr>
      </w:pPr>
      <w:r w:rsidRPr="001D6447">
        <w:rPr>
          <w:b/>
          <w:color w:val="0070C0"/>
          <w:sz w:val="16"/>
          <w:szCs w:val="16"/>
        </w:rPr>
        <w:t>INDEMNIFICATION FOR ACCESS TO VESSEL (DEC 2018)</w:t>
      </w:r>
    </w:p>
    <w:p w:rsidR="00802CE8" w:rsidRPr="001D6447"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lastRenderedPageBreak/>
        <w:t>ACCESS TO VESSELS BY NON U.S. CITIZENS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w:t>
      </w:r>
      <w:r w:rsidRPr="001D6447">
        <w:rPr>
          <w:b w:val="0"/>
          <w:i w:val="0"/>
          <w:sz w:val="16"/>
          <w:szCs w:val="16"/>
        </w:rPr>
        <w:tab/>
        <w:t>Badges must be of such design and appearance that permits easy recognition to facilitate quick and positive identification.</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802CE8" w:rsidRPr="001D6447" w:rsidRDefault="00802CE8" w:rsidP="00802CE8">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rsidR="00535B96" w:rsidRPr="001D6447" w:rsidRDefault="00535B96" w:rsidP="00E72104">
      <w:pPr>
        <w:pStyle w:val="ListParagraph"/>
        <w:spacing w:before="120" w:after="120"/>
        <w:ind w:left="0"/>
        <w:jc w:val="both"/>
        <w:rPr>
          <w:b/>
          <w:color w:val="0070C0"/>
          <w:sz w:val="16"/>
          <w:szCs w:val="16"/>
        </w:rPr>
      </w:pPr>
      <w:r w:rsidRPr="001D6447">
        <w:rPr>
          <w:b/>
          <w:color w:val="0070C0"/>
          <w:sz w:val="16"/>
          <w:szCs w:val="16"/>
        </w:rPr>
        <w:t>NON SMOKING POLICY</w:t>
      </w:r>
    </w:p>
    <w:p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advised that in light of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rsidR="00535B96" w:rsidRPr="001D6447" w:rsidRDefault="00535B96" w:rsidP="00E72104">
      <w:pPr>
        <w:keepNext/>
        <w:widowControl/>
        <w:spacing w:before="120" w:after="120"/>
        <w:rPr>
          <w:b/>
          <w:color w:val="0070C0"/>
          <w:sz w:val="16"/>
          <w:szCs w:val="16"/>
        </w:rPr>
      </w:pPr>
      <w:r w:rsidRPr="001D6447">
        <w:rPr>
          <w:b/>
          <w:color w:val="0070C0"/>
          <w:sz w:val="16"/>
          <w:szCs w:val="16"/>
        </w:rPr>
        <w:lastRenderedPageBreak/>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so that Buyer can provide a comprehensive list to the Government as Buyer is required to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rsidR="001D6447" w:rsidRPr="001D6447" w:rsidRDefault="001D6447" w:rsidP="00E72104">
      <w:pPr>
        <w:autoSpaceDE w:val="0"/>
        <w:autoSpaceDN w:val="0"/>
        <w:spacing w:before="120" w:after="120"/>
        <w:jc w:val="both"/>
        <w:rPr>
          <w:b/>
          <w:color w:val="0070C0"/>
          <w:sz w:val="16"/>
          <w:szCs w:val="16"/>
          <w:u w:val="single"/>
        </w:rPr>
      </w:pPr>
      <w:bookmarkStart w:id="5" w:name="PD000317"/>
      <w:bookmarkEnd w:id="5"/>
    </w:p>
    <w:p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CAPT </w:t>
      </w:r>
      <w:r>
        <w:rPr>
          <w:b w:val="0"/>
          <w:i w:val="0"/>
          <w:sz w:val="16"/>
          <w:szCs w:val="16"/>
        </w:rPr>
        <w:t>Matthew Tardy</w:t>
      </w:r>
      <w:r w:rsidRPr="001D6447">
        <w:rPr>
          <w:b w:val="0"/>
          <w:i w:val="0"/>
          <w:sz w:val="16"/>
          <w:szCs w:val="16"/>
        </w:rPr>
        <w:t>, Program Manager</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Deputy Commander for the Surface Warfare, SEA 21</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Washington Navy Yard, DC</w:t>
      </w:r>
    </w:p>
    <w:p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rsidR="00120C88" w:rsidRPr="001D6447" w:rsidRDefault="00120C88" w:rsidP="00033E87">
      <w:pPr>
        <w:pStyle w:val="BodyText"/>
        <w:spacing w:before="120" w:after="120"/>
        <w:jc w:val="both"/>
        <w:rPr>
          <w:b w:val="0"/>
          <w:i w:val="0"/>
          <w:sz w:val="16"/>
          <w:szCs w:val="16"/>
        </w:rPr>
      </w:pPr>
    </w:p>
    <w:p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Seller shall apply a permanent warranty notification stamping or marking on each warranted deliverable end item and its container in accordance with MIL-STD-129R with Change 1 dated 24 May 2018 and MIL-STD-130N(1) dated 16 November 2012. The notification shall be placed in close proximity to other required stamping or markings so as to be easily readable by personnel. The warranty notification shall read: *</w:t>
      </w:r>
    </w:p>
    <w:p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 xml:space="preserve">-16-4421 </w:t>
      </w:r>
      <w:r w:rsidRPr="001D6447">
        <w:rPr>
          <w:b w:val="0"/>
          <w:i w:val="0"/>
          <w:sz w:val="16"/>
          <w:szCs w:val="16"/>
        </w:rPr>
        <w:t xml:space="preserve">TO CONFORM TO DESIGN, MANUFACTURING, AND PERFORMANCE REQUIREMENTS AND BE FREE FROM DEFECTS IN MATERIAL AND WORKMANSHIP FOR </w:t>
      </w:r>
      <w:r w:rsidR="006942F4" w:rsidRPr="001D6447">
        <w:rPr>
          <w:b w:val="0"/>
          <w:i w:val="0"/>
          <w:sz w:val="16"/>
          <w:szCs w:val="16"/>
        </w:rPr>
        <w:t xml:space="preserve">USS MAKIN ISLAND (LHD-8) FY22 CMAV S003 </w:t>
      </w:r>
      <w:r w:rsidRPr="001D6447">
        <w:rPr>
          <w:b w:val="0"/>
          <w:i w:val="0"/>
          <w:sz w:val="16"/>
          <w:szCs w:val="16"/>
        </w:rPr>
        <w:t xml:space="preserve">FROM DATE OF ACCEPTANCE. IF ITEM IS DEFECTIVE NOTIFY </w:t>
      </w:r>
      <w:r w:rsidR="00722D1C" w:rsidRPr="001D6447">
        <w:rPr>
          <w:b w:val="0"/>
          <w:i w:val="0"/>
          <w:sz w:val="16"/>
          <w:szCs w:val="16"/>
        </w:rPr>
        <w:t>CS JENNIFER GOMEZ (</w:t>
      </w:r>
      <w:hyperlink r:id="rId8" w:history="1">
        <w:r w:rsidR="00722D1C" w:rsidRPr="001D6447">
          <w:rPr>
            <w:rStyle w:val="Hyperlink"/>
            <w:b w:val="0"/>
            <w:i w:val="0"/>
            <w:sz w:val="16"/>
            <w:szCs w:val="16"/>
          </w:rPr>
          <w:t>jennifer.h.gomez@navy.mil</w:t>
        </w:r>
      </w:hyperlink>
      <w:r w:rsidR="00722D1C" w:rsidRPr="001D6447">
        <w:rPr>
          <w:b w:val="0"/>
          <w:i w:val="0"/>
          <w:sz w:val="16"/>
          <w:szCs w:val="16"/>
        </w:rPr>
        <w:t xml:space="preserve">), CS MARCELLA MIRAFUENTES (marcella.mirafuentes@navy.mil), </w:t>
      </w:r>
      <w:r w:rsidRPr="001D6447">
        <w:rPr>
          <w:b w:val="0"/>
          <w:i w:val="0"/>
          <w:sz w:val="16"/>
          <w:szCs w:val="16"/>
        </w:rPr>
        <w:t xml:space="preserve">AND </w:t>
      </w:r>
      <w:r w:rsidR="00722D1C" w:rsidRPr="001D6447">
        <w:rPr>
          <w:b w:val="0"/>
          <w:i w:val="0"/>
          <w:sz w:val="16"/>
          <w:szCs w:val="16"/>
        </w:rPr>
        <w:t>ACO LATOYA JOHNSON (</w:t>
      </w:r>
      <w:hyperlink r:id="rId9" w:history="1">
        <w:r w:rsidR="00722D1C" w:rsidRPr="001D6447">
          <w:rPr>
            <w:rStyle w:val="Hyperlink"/>
            <w:b w:val="0"/>
            <w:i w:val="0"/>
            <w:sz w:val="16"/>
            <w:szCs w:val="16"/>
          </w:rPr>
          <w:t>latoya.johnson@navy.mil</w:t>
        </w:r>
      </w:hyperlink>
      <w:r w:rsidR="00722D1C" w:rsidRPr="001D6447">
        <w:rPr>
          <w:b w:val="0"/>
          <w:i w:val="0"/>
          <w:sz w:val="16"/>
          <w:szCs w:val="16"/>
        </w:rPr>
        <w:t>), AND PM NICHOAS KLEMP (nicholas.klemp@navy.mil)</w:t>
      </w:r>
      <w:r w:rsidRPr="001D6447">
        <w:rPr>
          <w:b w:val="0"/>
          <w:i w:val="0"/>
          <w:sz w:val="16"/>
          <w:szCs w:val="16"/>
        </w:rPr>
        <w:t xml:space="preserve">. </w:t>
      </w:r>
    </w:p>
    <w:p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rsidR="00120C88" w:rsidRDefault="00120C88" w:rsidP="00722D1C">
      <w:pPr>
        <w:pStyle w:val="BodyText"/>
        <w:spacing w:before="120" w:after="120"/>
        <w:jc w:val="both"/>
        <w:rPr>
          <w:i w:val="0"/>
          <w:color w:val="0070C0"/>
          <w:sz w:val="16"/>
          <w:szCs w:val="16"/>
        </w:rPr>
      </w:pP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lastRenderedPageBreak/>
        <w:t>PROHIBITED PACKING MATERIALS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rsidR="00BB4A72" w:rsidRPr="001D6447" w:rsidRDefault="00BB4A72" w:rsidP="00BB4A72">
      <w:pPr>
        <w:pStyle w:val="BodyText"/>
        <w:spacing w:before="120" w:after="120"/>
        <w:jc w:val="both"/>
        <w:rPr>
          <w:b w:val="0"/>
          <w:i w:val="0"/>
          <w:sz w:val="16"/>
          <w:szCs w:val="16"/>
        </w:rPr>
      </w:pPr>
    </w:p>
    <w:p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rsidTr="00967BA7">
        <w:tc>
          <w:tcPr>
            <w:tcW w:w="117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rsidR="00BB4A72" w:rsidRPr="001D6447" w:rsidRDefault="00BB4A72" w:rsidP="00C918BB">
      <w:pPr>
        <w:pStyle w:val="BodyText"/>
        <w:spacing w:before="120" w:after="120"/>
        <w:jc w:val="both"/>
        <w:rPr>
          <w:i w:val="0"/>
          <w:color w:val="0070C0"/>
          <w:sz w:val="16"/>
          <w:szCs w:val="16"/>
        </w:rPr>
      </w:pP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rsidR="00722D1C" w:rsidRPr="001D6447" w:rsidRDefault="00BB4A72" w:rsidP="00BB4A72">
      <w:pPr>
        <w:pStyle w:val="BodyText"/>
        <w:spacing w:before="120" w:after="120"/>
        <w:jc w:val="both"/>
        <w:rPr>
          <w:b w:val="0"/>
          <w:i w:val="0"/>
          <w:sz w:val="16"/>
          <w:szCs w:val="16"/>
        </w:rPr>
      </w:pPr>
      <w:r w:rsidRPr="001D6447">
        <w:rPr>
          <w:b w:val="0"/>
          <w:i w:val="0"/>
          <w:sz w:val="16"/>
          <w:szCs w:val="16"/>
        </w:rPr>
        <w:t>During the conduct of required tests and trials, the vessel shall be under the control of the vessel's Commander and crew with representatives of Buyer, Seller and the Government on board to determine whether or not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the Contractor, one (1) copy to accompany the shipment (in the packing list envelope) and (l) copy mailed to arrive at time of receipt of the shipment. Mark all certificates to the attention of Code 00Q.</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lastRenderedPageBreak/>
        <w:t>This certification concerns a matter within the jurisdiction of an agency of the United States and the making of a false, fictitious, or fraudulent certification may render the maker subject to prosecution under Title 18, United States Code, Section 1001.</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rsidR="001D6447" w:rsidRPr="001D6447" w:rsidRDefault="001D6447" w:rsidP="00E32DE5">
      <w:pPr>
        <w:keepNext/>
        <w:widowControl/>
        <w:autoSpaceDE w:val="0"/>
        <w:autoSpaceDN w:val="0"/>
        <w:spacing w:before="120" w:after="120"/>
        <w:jc w:val="both"/>
        <w:rPr>
          <w:b/>
          <w:color w:val="0070C0"/>
          <w:sz w:val="16"/>
          <w:szCs w:val="16"/>
          <w:u w:val="single"/>
        </w:rPr>
      </w:pPr>
    </w:p>
    <w:p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rsidR="00F07BEC" w:rsidRPr="001D6447" w:rsidRDefault="00DD5391" w:rsidP="001D4084">
      <w:pPr>
        <w:pStyle w:val="BodyText"/>
        <w:ind w:left="720"/>
        <w:rPr>
          <w:b w:val="0"/>
          <w:i w:val="0"/>
          <w:sz w:val="16"/>
          <w:szCs w:val="16"/>
        </w:rPr>
      </w:pPr>
      <w:r w:rsidRPr="001D6447">
        <w:rPr>
          <w:sz w:val="16"/>
          <w:szCs w:val="16"/>
          <w:u w:val="single"/>
        </w:rPr>
        <w:t>National Steel and Shipbuilding Company (NASSCO)</w:t>
      </w:r>
    </w:p>
    <w:p w:rsidR="00F07BEC" w:rsidRPr="001D6447" w:rsidRDefault="00F07BEC" w:rsidP="001D4084">
      <w:pPr>
        <w:ind w:left="720"/>
        <w:rPr>
          <w:sz w:val="16"/>
          <w:szCs w:val="16"/>
        </w:rPr>
      </w:pPr>
    </w:p>
    <w:p w:rsidR="00F07BEC" w:rsidRPr="001D6447" w:rsidRDefault="00DD5391" w:rsidP="001D4084">
      <w:pPr>
        <w:pStyle w:val="BodyText"/>
        <w:ind w:left="720"/>
        <w:rPr>
          <w:b w:val="0"/>
          <w:i w:val="0"/>
          <w:sz w:val="16"/>
          <w:szCs w:val="16"/>
        </w:rPr>
      </w:pPr>
      <w:r w:rsidRPr="001D6447">
        <w:rPr>
          <w:sz w:val="16"/>
          <w:szCs w:val="16"/>
          <w:u w:val="single"/>
        </w:rPr>
        <w:t>2798 East Harbor Drive.</w:t>
      </w:r>
      <w:r w:rsidRPr="001D6447" w:rsidDel="00DD5391">
        <w:rPr>
          <w:sz w:val="16"/>
          <w:szCs w:val="16"/>
          <w:u w:val="single"/>
        </w:rPr>
        <w:t xml:space="preserve"> </w:t>
      </w:r>
    </w:p>
    <w:p w:rsidR="00F94425" w:rsidRPr="001D6447" w:rsidRDefault="00F94425" w:rsidP="001D4084">
      <w:pPr>
        <w:pStyle w:val="BodyText"/>
        <w:ind w:left="720"/>
        <w:rPr>
          <w:b w:val="0"/>
          <w:i w:val="0"/>
          <w:sz w:val="16"/>
          <w:szCs w:val="16"/>
        </w:rPr>
      </w:pPr>
    </w:p>
    <w:p w:rsidR="00F07BEC" w:rsidRPr="001D4084" w:rsidRDefault="00DD5391" w:rsidP="001D4084">
      <w:pPr>
        <w:pStyle w:val="BodyText"/>
        <w:ind w:left="720"/>
        <w:rPr>
          <w:sz w:val="16"/>
          <w:szCs w:val="16"/>
          <w:u w:val="single"/>
        </w:rPr>
      </w:pPr>
      <w:r w:rsidRPr="001D4084">
        <w:rPr>
          <w:sz w:val="16"/>
          <w:szCs w:val="16"/>
          <w:u w:val="single"/>
        </w:rPr>
        <w:t>San Diego, CA  92113-3650</w:t>
      </w:r>
    </w:p>
    <w:p w:rsidR="00B05017" w:rsidRPr="001D6447" w:rsidRDefault="00B05017" w:rsidP="00E72104">
      <w:pPr>
        <w:pStyle w:val="BodyText"/>
        <w:rPr>
          <w:b w:val="0"/>
          <w:i w:val="0"/>
          <w:sz w:val="16"/>
          <w:szCs w:val="16"/>
          <w:u w:val="single"/>
        </w:rPr>
      </w:pPr>
    </w:p>
    <w:p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[Modified by Buyer]</w:t>
      </w:r>
    </w:p>
    <w:p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the </w:t>
      </w:r>
      <w:r>
        <w:rPr>
          <w:sz w:val="16"/>
          <w:szCs w:val="16"/>
        </w:rPr>
        <w:t>C</w:t>
      </w:r>
      <w:r w:rsidRPr="001D4084">
        <w:rPr>
          <w:sz w:val="16"/>
          <w:szCs w:val="16"/>
        </w:rPr>
        <w:t xml:space="preserve">ontractor 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rsidTr="00656ED7">
        <w:tc>
          <w:tcPr>
            <w:tcW w:w="1440" w:type="dxa"/>
          </w:tcPr>
          <w:p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rsidTr="00547F74">
        <w:tc>
          <w:tcPr>
            <w:tcW w:w="144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rsidTr="00547F74">
        <w:tc>
          <w:tcPr>
            <w:tcW w:w="1440" w:type="dxa"/>
          </w:tcPr>
          <w:p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rsidR="00C5404E" w:rsidRPr="00C5404E" w:rsidRDefault="00C5404E" w:rsidP="00C5404E">
      <w:pPr>
        <w:autoSpaceDE w:val="0"/>
        <w:autoSpaceDN w:val="0"/>
        <w:adjustRightInd w:val="0"/>
        <w:spacing w:before="120" w:after="120"/>
        <w:jc w:val="both"/>
        <w:rPr>
          <w:b/>
          <w:sz w:val="16"/>
          <w:szCs w:val="16"/>
        </w:rPr>
      </w:pPr>
      <w:r w:rsidRPr="00C5404E">
        <w:rPr>
          <w:b/>
          <w:color w:val="0070C0"/>
          <w:sz w:val="16"/>
          <w:szCs w:val="16"/>
        </w:rPr>
        <w:t>CONTRACTOR NOTICE REGARDING LATE DELIVERY (NAVSEA) (OCT 2018)</w:t>
      </w:r>
      <w:r>
        <w:rPr>
          <w:b/>
          <w:color w:val="0070C0"/>
          <w:sz w:val="16"/>
          <w:szCs w:val="16"/>
        </w:rPr>
        <w:t xml:space="preserve"> </w:t>
      </w:r>
      <w:r w:rsidRPr="001D4084">
        <w:rPr>
          <w:sz w:val="16"/>
          <w:szCs w:val="16"/>
        </w:rPr>
        <w:t>[Modified by Buyer]</w:t>
      </w:r>
    </w:p>
    <w:p w:rsidR="00B05017" w:rsidRPr="00C5404E" w:rsidRDefault="00C5404E" w:rsidP="00C5404E">
      <w:pPr>
        <w:autoSpaceDE w:val="0"/>
        <w:autoSpaceDN w:val="0"/>
        <w:adjustRightInd w:val="0"/>
        <w:spacing w:before="120" w:after="120"/>
        <w:jc w:val="both"/>
        <w:rPr>
          <w:sz w:val="16"/>
          <w:szCs w:val="16"/>
        </w:rPr>
      </w:pPr>
      <w:r w:rsidRPr="00C5404E">
        <w:rPr>
          <w:sz w:val="16"/>
          <w:szCs w:val="16"/>
        </w:rPr>
        <w:t xml:space="preserve">In the event the </w:t>
      </w:r>
      <w:r>
        <w:rPr>
          <w:sz w:val="16"/>
          <w:szCs w:val="16"/>
        </w:rPr>
        <w:t>c</w:t>
      </w:r>
      <w:r w:rsidRPr="00C5404E">
        <w:rPr>
          <w:sz w:val="16"/>
          <w:szCs w:val="16"/>
        </w:rPr>
        <w:t xml:space="preserve">ontractor anticipates or encounters difficulty in complying with the contract delivery schedule or date, the contractor shall immediately notify, in writing, the </w:t>
      </w:r>
      <w:r>
        <w:rPr>
          <w:sz w:val="16"/>
          <w:szCs w:val="16"/>
        </w:rPr>
        <w:t>Buyer’s Representative</w:t>
      </w:r>
      <w:r w:rsidRPr="00C5404E">
        <w:rPr>
          <w:sz w:val="16"/>
          <w:szCs w:val="16"/>
        </w:rPr>
        <w:t>. The notice shall give the pertinent details; however, such notice shall not constitute a waiver by the Government of any contract delivery schedule, or of any rights or remedies provided by law or under this contract.</w:t>
      </w:r>
    </w:p>
    <w:p w:rsidR="00C5404E" w:rsidRPr="00C5404E" w:rsidRDefault="00C5404E" w:rsidP="00E72104">
      <w:pPr>
        <w:autoSpaceDE w:val="0"/>
        <w:autoSpaceDN w:val="0"/>
        <w:adjustRightInd w:val="0"/>
        <w:spacing w:before="120" w:after="120"/>
        <w:jc w:val="both"/>
        <w:rPr>
          <w:sz w:val="16"/>
          <w:szCs w:val="16"/>
        </w:rPr>
      </w:pPr>
    </w:p>
    <w:p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 xml:space="preserve">When Federal employees are excused from work due to a holiday or a special event (that is unrelated to severe weather, a security </w:t>
      </w:r>
      <w:r w:rsidRPr="001D6447">
        <w:rPr>
          <w:sz w:val="16"/>
          <w:szCs w:val="16"/>
        </w:rPr>
        <w:lastRenderedPageBreak/>
        <w:t>threat, or a facility related problem), on site contractors shall continue working established work hours or take leave in accordance with parent 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rsidR="001D6447" w:rsidRPr="001D6447" w:rsidRDefault="001D6447" w:rsidP="001067A0">
      <w:pPr>
        <w:spacing w:before="120" w:after="120"/>
        <w:rPr>
          <w:b/>
          <w:color w:val="0070C0"/>
          <w:sz w:val="16"/>
          <w:szCs w:val="16"/>
          <w:u w:val="single"/>
        </w:rPr>
      </w:pPr>
    </w:p>
    <w:p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(JAN 2019)</w:t>
      </w:r>
      <w:r w:rsidR="001D4084">
        <w:rPr>
          <w:bCs/>
          <w:i w:val="0"/>
          <w:sz w:val="16"/>
          <w:szCs w:val="16"/>
        </w:rPr>
        <w:t xml:space="preserve">  </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Per 29 CFR 1910.1200, Hazard Communication, you, as a contractor employer with employees working at a Government facility, are hereby informed of the hazardous materials used at the Government facility which your employees may be exposed to while working here and also to suggest appropriate protective measures. Your own responsibilities as an employer, if any, are given in 29 CFR 1910.1200.</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Obey signs, directions and warning labels;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Do not use unknown or labeled materials;</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Only operate equipment that you are authorized to operate, familiar with, and qualified to operate;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rsidR="007E4599" w:rsidRPr="001D6447" w:rsidRDefault="007E4599" w:rsidP="007E4599">
      <w:pPr>
        <w:pStyle w:val="BodyText"/>
        <w:spacing w:before="120" w:after="120"/>
        <w:jc w:val="both"/>
        <w:rPr>
          <w:b w:val="0"/>
          <w:bCs/>
          <w:i w:val="0"/>
          <w:sz w:val="16"/>
          <w:szCs w:val="16"/>
        </w:rPr>
      </w:pPr>
      <w:r w:rsidRPr="001D6447">
        <w:rPr>
          <w:b w:val="0"/>
          <w:bCs/>
          <w:i w:val="0"/>
          <w:sz w:val="16"/>
          <w:szCs w:val="16"/>
        </w:rPr>
        <w:lastRenderedPageBreak/>
        <w:t>5. The Navy Safety Office points of contact are as follows: Michael Manese, Code 160B</w:t>
      </w:r>
    </w:p>
    <w:p w:rsidR="000C7F35" w:rsidRPr="001D6447" w:rsidRDefault="007E4599" w:rsidP="007E4599">
      <w:pPr>
        <w:pStyle w:val="BodyText"/>
        <w:spacing w:before="120" w:after="120"/>
        <w:jc w:val="both"/>
        <w:rPr>
          <w:b w:val="0"/>
          <w:bCs/>
          <w:i w:val="0"/>
          <w:sz w:val="16"/>
          <w:szCs w:val="16"/>
        </w:rPr>
      </w:pPr>
      <w:r w:rsidRPr="001D6447">
        <w:rPr>
          <w:b w:val="0"/>
          <w:bCs/>
          <w:i w:val="0"/>
          <w:sz w:val="16"/>
          <w:szCs w:val="16"/>
        </w:rPr>
        <w:t>(End of text)</w:t>
      </w:r>
    </w:p>
    <w:p w:rsidR="004B6809" w:rsidRPr="001D6447" w:rsidRDefault="004B6809" w:rsidP="007E4599">
      <w:pPr>
        <w:pStyle w:val="BodyText"/>
        <w:spacing w:before="120" w:after="120"/>
        <w:jc w:val="both"/>
        <w:rPr>
          <w:b w:val="0"/>
          <w:bCs/>
          <w:i w:val="0"/>
          <w:sz w:val="16"/>
          <w:szCs w:val="16"/>
        </w:rPr>
      </w:pPr>
    </w:p>
    <w:p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1D6447" w:rsidRDefault="00D1479B" w:rsidP="00E72104">
      <w:pPr>
        <w:widowControl/>
        <w:tabs>
          <w:tab w:val="left" w:pos="-1440"/>
        </w:tabs>
        <w:jc w:val="both"/>
        <w:rPr>
          <w:sz w:val="16"/>
          <w:szCs w:val="16"/>
        </w:rPr>
      </w:pPr>
      <w:r w:rsidRPr="001D6447">
        <w:rPr>
          <w:sz w:val="16"/>
          <w:szCs w:val="16"/>
        </w:rPr>
        <w:tab/>
      </w:r>
      <w:hyperlink r:id="rId10" w:history="1">
        <w:r w:rsidRPr="001D6447">
          <w:rPr>
            <w:rStyle w:val="Hyperlink"/>
            <w:sz w:val="16"/>
            <w:szCs w:val="16"/>
          </w:rPr>
          <w:t>https://www.acquisition.gov/far/</w:t>
        </w:r>
      </w:hyperlink>
      <w:r w:rsidR="0012283C" w:rsidRPr="001D6447">
        <w:rPr>
          <w:sz w:val="16"/>
          <w:szCs w:val="16"/>
        </w:rPr>
        <w:t xml:space="preserve"> </w:t>
      </w:r>
    </w:p>
    <w:p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1" w:history="1">
        <w:r w:rsidR="00B11542" w:rsidRPr="001D6447">
          <w:rPr>
            <w:rStyle w:val="Hyperlink"/>
            <w:sz w:val="16"/>
            <w:szCs w:val="16"/>
          </w:rPr>
          <w:t>http://acquisition.gov/browse/index/far</w:t>
        </w:r>
      </w:hyperlink>
      <w:r w:rsidR="00B11542" w:rsidRPr="001D6447">
        <w:rPr>
          <w:color w:val="000000"/>
          <w:sz w:val="16"/>
          <w:szCs w:val="16"/>
        </w:rPr>
        <w:t xml:space="preserve"> or  https://www.acq.osd.mil/dpap/dars/ </w:t>
      </w:r>
    </w:p>
    <w:p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 throughout this clause.</w:t>
      </w:r>
    </w:p>
    <w:p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rsidR="0019566C" w:rsidRPr="001D6447" w:rsidRDefault="0019566C" w:rsidP="00C80DF7">
      <w:pPr>
        <w:autoSpaceDE w:val="0"/>
        <w:autoSpaceDN w:val="0"/>
        <w:adjustRightInd w:val="0"/>
        <w:jc w:val="both"/>
        <w:rPr>
          <w:b/>
          <w:color w:val="000000"/>
          <w:sz w:val="16"/>
          <w:szCs w:val="16"/>
        </w:rPr>
      </w:pPr>
    </w:p>
    <w:p w:rsidR="0082008E" w:rsidRPr="001D6447" w:rsidRDefault="00230558" w:rsidP="00C80DF7">
      <w:pPr>
        <w:autoSpaceDE w:val="0"/>
        <w:autoSpaceDN w:val="0"/>
        <w:adjustRightInd w:val="0"/>
        <w:rPr>
          <w:color w:val="000000"/>
          <w:sz w:val="16"/>
          <w:szCs w:val="16"/>
        </w:rPr>
      </w:pPr>
      <w:r w:rsidRPr="001D6447">
        <w:rPr>
          <w:b/>
          <w:color w:val="000000"/>
          <w:sz w:val="16"/>
          <w:szCs w:val="16"/>
        </w:rPr>
        <w:t>52.202-1</w:t>
      </w:r>
      <w:r w:rsidR="0050272D" w:rsidRPr="001D6447">
        <w:rPr>
          <w:color w:val="000000"/>
          <w:sz w:val="16"/>
          <w:szCs w:val="16"/>
        </w:rPr>
        <w:t xml:space="preserve">  </w:t>
      </w:r>
      <w:r w:rsidRPr="001D6447">
        <w:rPr>
          <w:b/>
          <w:color w:val="000000"/>
          <w:sz w:val="16"/>
          <w:szCs w:val="16"/>
        </w:rPr>
        <w:t>DEFINITIONS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52.203-3</w:t>
      </w:r>
      <w:r w:rsidR="0050272D" w:rsidRPr="001D6447">
        <w:rPr>
          <w:color w:val="000000"/>
          <w:sz w:val="16"/>
          <w:szCs w:val="16"/>
        </w:rPr>
        <w:t xml:space="preserve">  </w:t>
      </w:r>
      <w:r w:rsidRPr="001D6447">
        <w:rPr>
          <w:b/>
          <w:color w:val="000000"/>
          <w:sz w:val="16"/>
          <w:szCs w:val="16"/>
        </w:rPr>
        <w:t>GRATUITIES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rsidR="00722181" w:rsidRPr="001D6447" w:rsidRDefault="00722181" w:rsidP="00C80DF7">
      <w:pPr>
        <w:autoSpaceDE w:val="0"/>
        <w:autoSpaceDN w:val="0"/>
        <w:adjustRightInd w:val="0"/>
        <w:rPr>
          <w:color w:val="000000"/>
          <w:sz w:val="16"/>
          <w:szCs w:val="16"/>
        </w:rPr>
      </w:pPr>
    </w:p>
    <w:p w:rsidR="00381D18" w:rsidRPr="001D6447" w:rsidRDefault="00230558" w:rsidP="00C80DF7">
      <w:pPr>
        <w:autoSpaceDE w:val="0"/>
        <w:autoSpaceDN w:val="0"/>
        <w:adjustRightInd w:val="0"/>
        <w:rPr>
          <w:color w:val="000000"/>
          <w:sz w:val="16"/>
          <w:szCs w:val="16"/>
        </w:rPr>
      </w:pPr>
      <w:r w:rsidRPr="001D6447">
        <w:rPr>
          <w:b/>
          <w:color w:val="000000"/>
          <w:sz w:val="16"/>
          <w:szCs w:val="16"/>
        </w:rPr>
        <w:t>52.203-5</w:t>
      </w:r>
      <w:r w:rsidR="0050272D" w:rsidRPr="001D6447">
        <w:rPr>
          <w:color w:val="000000"/>
          <w:sz w:val="16"/>
          <w:szCs w:val="16"/>
        </w:rPr>
        <w:t xml:space="preserve">  </w:t>
      </w:r>
      <w:r w:rsidRPr="001D6447">
        <w:rPr>
          <w:b/>
          <w:color w:val="000000"/>
          <w:sz w:val="16"/>
          <w:szCs w:val="16"/>
        </w:rPr>
        <w:t>CONVENANT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rsidR="00722181" w:rsidRPr="001D6447" w:rsidRDefault="00722181" w:rsidP="00C80DF7">
      <w:pPr>
        <w:autoSpaceDE w:val="0"/>
        <w:autoSpaceDN w:val="0"/>
        <w:adjustRightInd w:val="0"/>
        <w:rPr>
          <w:color w:val="000000"/>
          <w:sz w:val="16"/>
          <w:szCs w:val="16"/>
        </w:rPr>
      </w:pPr>
    </w:p>
    <w:p w:rsidR="00230558" w:rsidRPr="001D6447" w:rsidRDefault="00230558" w:rsidP="00C80DF7">
      <w:pPr>
        <w:autoSpaceDE w:val="0"/>
        <w:autoSpaceDN w:val="0"/>
        <w:adjustRightInd w:val="0"/>
        <w:rPr>
          <w:color w:val="000000"/>
          <w:sz w:val="16"/>
          <w:szCs w:val="16"/>
        </w:rPr>
      </w:pPr>
      <w:r w:rsidRPr="001D6447">
        <w:rPr>
          <w:b/>
          <w:color w:val="000000"/>
          <w:sz w:val="16"/>
          <w:szCs w:val="16"/>
        </w:rPr>
        <w:t>52.203-6</w:t>
      </w:r>
      <w:r w:rsidR="0050272D" w:rsidRPr="001D6447">
        <w:rPr>
          <w:color w:val="000000"/>
          <w:sz w:val="16"/>
          <w:szCs w:val="16"/>
        </w:rPr>
        <w:t xml:space="preserve">  </w:t>
      </w:r>
      <w:r w:rsidRPr="001D6447">
        <w:rPr>
          <w:b/>
          <w:color w:val="000000"/>
          <w:sz w:val="16"/>
          <w:szCs w:val="16"/>
        </w:rPr>
        <w:t>RESTRICTIONS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rsidR="00722181" w:rsidRPr="001D6447" w:rsidRDefault="00722181" w:rsidP="00C80DF7">
      <w:pPr>
        <w:autoSpaceDE w:val="0"/>
        <w:autoSpaceDN w:val="0"/>
        <w:adjustRightInd w:val="0"/>
        <w:rPr>
          <w:color w:val="000000"/>
          <w:sz w:val="16"/>
          <w:szCs w:val="16"/>
        </w:rPr>
      </w:pPr>
    </w:p>
    <w:p w:rsidR="007366DD" w:rsidRPr="001D6447" w:rsidRDefault="00230558" w:rsidP="00C80DF7">
      <w:pPr>
        <w:autoSpaceDE w:val="0"/>
        <w:autoSpaceDN w:val="0"/>
        <w:adjustRightInd w:val="0"/>
        <w:rPr>
          <w:color w:val="000000"/>
          <w:sz w:val="16"/>
          <w:szCs w:val="16"/>
        </w:rPr>
      </w:pPr>
      <w:r w:rsidRPr="001D6447">
        <w:rPr>
          <w:b/>
          <w:color w:val="000000"/>
          <w:sz w:val="16"/>
          <w:szCs w:val="16"/>
        </w:rPr>
        <w:t>52.203-7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rsidR="00A13571" w:rsidRPr="001D6447" w:rsidRDefault="00AA772A" w:rsidP="00C80DF7">
      <w:pPr>
        <w:autoSpaceDE w:val="0"/>
        <w:autoSpaceDN w:val="0"/>
        <w:adjustRightInd w:val="0"/>
        <w:rPr>
          <w:color w:val="000000"/>
          <w:sz w:val="16"/>
          <w:szCs w:val="16"/>
        </w:rPr>
      </w:pPr>
      <w:r w:rsidRPr="001D6447">
        <w:rPr>
          <w:i/>
          <w:sz w:val="16"/>
          <w:szCs w:val="16"/>
          <w:u w:val="single"/>
        </w:rPr>
        <w:t>remedies against Buyer as a result of any kickback given by Seller</w:t>
      </w:r>
      <w:r w:rsidR="00F27E0D" w:rsidRPr="001D6447">
        <w:rPr>
          <w:i/>
          <w:smallCaps/>
          <w:sz w:val="16"/>
          <w:szCs w:val="16"/>
          <w:u w:val="single"/>
        </w:rPr>
        <w:t xml:space="preserve">. </w:t>
      </w:r>
    </w:p>
    <w:p w:rsidR="00722181" w:rsidRPr="001D6447" w:rsidRDefault="00722181" w:rsidP="00C80DF7">
      <w:pPr>
        <w:autoSpaceDE w:val="0"/>
        <w:autoSpaceDN w:val="0"/>
        <w:adjustRightInd w:val="0"/>
        <w:rPr>
          <w:color w:val="000000"/>
          <w:sz w:val="16"/>
          <w:szCs w:val="16"/>
        </w:rPr>
      </w:pPr>
    </w:p>
    <w:p w:rsidR="00012C1D" w:rsidRPr="001D6447" w:rsidRDefault="00230558" w:rsidP="00C80DF7">
      <w:pPr>
        <w:autoSpaceDE w:val="0"/>
        <w:autoSpaceDN w:val="0"/>
        <w:adjustRightInd w:val="0"/>
        <w:rPr>
          <w:color w:val="000000"/>
          <w:sz w:val="16"/>
          <w:szCs w:val="16"/>
        </w:rPr>
      </w:pPr>
      <w:r w:rsidRPr="001D6447">
        <w:rPr>
          <w:b/>
          <w:color w:val="000000"/>
          <w:sz w:val="16"/>
          <w:szCs w:val="16"/>
        </w:rPr>
        <w:t>52.203-8</w:t>
      </w:r>
      <w:r w:rsidR="0050272D" w:rsidRPr="001D6447">
        <w:rPr>
          <w:color w:val="000000"/>
          <w:sz w:val="16"/>
          <w:szCs w:val="16"/>
        </w:rPr>
        <w:t xml:space="preserve">  </w:t>
      </w:r>
      <w:r w:rsidRPr="001D6447">
        <w:rPr>
          <w:b/>
          <w:color w:val="000000"/>
          <w:sz w:val="16"/>
          <w:szCs w:val="16"/>
        </w:rPr>
        <w:t>CANCELLATION,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rsidR="00722181" w:rsidRPr="001D6447" w:rsidRDefault="00722181" w:rsidP="00C80DF7">
      <w:pPr>
        <w:autoSpaceDE w:val="0"/>
        <w:autoSpaceDN w:val="0"/>
        <w:adjustRightInd w:val="0"/>
        <w:jc w:val="both"/>
        <w:rPr>
          <w:color w:val="000000"/>
          <w:sz w:val="16"/>
          <w:szCs w:val="16"/>
        </w:rPr>
      </w:pPr>
    </w:p>
    <w:p w:rsidR="008A0955" w:rsidRPr="001D6447" w:rsidRDefault="008A0955" w:rsidP="00C80DF7">
      <w:pPr>
        <w:autoSpaceDE w:val="0"/>
        <w:autoSpaceDN w:val="0"/>
        <w:adjustRightInd w:val="0"/>
        <w:jc w:val="both"/>
        <w:rPr>
          <w:b/>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52.203-10</w:t>
      </w:r>
      <w:r w:rsidR="0050272D" w:rsidRPr="001D6447">
        <w:rPr>
          <w:color w:val="000000"/>
          <w:sz w:val="16"/>
          <w:szCs w:val="16"/>
        </w:rPr>
        <w:t xml:space="preserve">  </w:t>
      </w:r>
      <w:r w:rsidRPr="001D6447">
        <w:rPr>
          <w:b/>
          <w:color w:val="000000"/>
          <w:sz w:val="16"/>
          <w:szCs w:val="16"/>
        </w:rPr>
        <w:t>PRICE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rsidR="00A13571" w:rsidRPr="001D6447" w:rsidRDefault="00F27E0D" w:rsidP="00C80DF7">
      <w:pPr>
        <w:autoSpaceDE w:val="0"/>
        <w:autoSpaceDN w:val="0"/>
        <w:adjustRightInd w:val="0"/>
        <w:jc w:val="both"/>
        <w:rPr>
          <w:i/>
          <w:sz w:val="16"/>
          <w:szCs w:val="16"/>
          <w:u w:val="single"/>
        </w:rPr>
      </w:pPr>
      <w:r w:rsidRPr="001D6447">
        <w:rPr>
          <w:i/>
          <w:sz w:val="16"/>
          <w:szCs w:val="16"/>
          <w:u w:val="single"/>
        </w:rPr>
        <w:t>Buyer as a result of any kickback given by Seller.</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lastRenderedPageBreak/>
        <w:t>52.203-12</w:t>
      </w:r>
      <w:r w:rsidR="0050272D" w:rsidRPr="001D6447">
        <w:rPr>
          <w:color w:val="000000"/>
          <w:sz w:val="16"/>
          <w:szCs w:val="16"/>
        </w:rPr>
        <w:t xml:space="preserve">  </w:t>
      </w:r>
      <w:r w:rsidRPr="001D6447">
        <w:rPr>
          <w:b/>
          <w:color w:val="000000"/>
          <w:sz w:val="16"/>
          <w:szCs w:val="16"/>
        </w:rPr>
        <w:t>LIMITATION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52.203-13</w:t>
      </w:r>
      <w:r w:rsidR="0050272D" w:rsidRPr="001D6447">
        <w:rPr>
          <w:color w:val="000000"/>
          <w:sz w:val="16"/>
          <w:szCs w:val="16"/>
        </w:rPr>
        <w:t xml:space="preserve">  </w:t>
      </w:r>
      <w:r w:rsidRPr="001D6447">
        <w:rPr>
          <w:b/>
          <w:color w:val="000000"/>
          <w:sz w:val="16"/>
          <w:szCs w:val="16"/>
        </w:rPr>
        <w:t>CONTRACTOR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rsidR="00722181" w:rsidRPr="001D6447" w:rsidRDefault="00722181" w:rsidP="00C80DF7">
      <w:pPr>
        <w:autoSpaceDE w:val="0"/>
        <w:autoSpaceDN w:val="0"/>
        <w:adjustRightInd w:val="0"/>
        <w:jc w:val="both"/>
        <w:rPr>
          <w:color w:val="000000"/>
          <w:sz w:val="16"/>
          <w:szCs w:val="16"/>
        </w:rPr>
      </w:pPr>
    </w:p>
    <w:p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52.203-17</w:t>
      </w:r>
      <w:r w:rsidRPr="001D6447">
        <w:rPr>
          <w:color w:val="000000"/>
          <w:sz w:val="16"/>
          <w:szCs w:val="16"/>
        </w:rPr>
        <w:t xml:space="preserve">  </w:t>
      </w:r>
      <w:r w:rsidRPr="001D6447">
        <w:rPr>
          <w:b/>
          <w:color w:val="000000"/>
          <w:sz w:val="16"/>
          <w:szCs w:val="16"/>
        </w:rPr>
        <w:t>CONTRACTOR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55018E">
        <w:rPr>
          <w:color w:val="000000"/>
          <w:sz w:val="16"/>
          <w:szCs w:val="16"/>
        </w:rPr>
        <w:t>JUN 2020</w:t>
      </w:r>
    </w:p>
    <w:p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rsidR="00967BA7" w:rsidRPr="001D6447" w:rsidRDefault="00967BA7" w:rsidP="00967BA7">
      <w:pPr>
        <w:autoSpaceDE w:val="0"/>
        <w:autoSpaceDN w:val="0"/>
        <w:adjustRightInd w:val="0"/>
        <w:jc w:val="both"/>
        <w:rPr>
          <w:b/>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52.203-19</w:t>
      </w:r>
      <w:r w:rsidRPr="001D6447">
        <w:rPr>
          <w:color w:val="000000"/>
          <w:sz w:val="16"/>
          <w:szCs w:val="16"/>
        </w:rPr>
        <w:t xml:space="preserve">  </w:t>
      </w:r>
      <w:r w:rsidRPr="001D6447">
        <w:rPr>
          <w:b/>
          <w:color w:val="000000"/>
          <w:sz w:val="16"/>
          <w:szCs w:val="16"/>
        </w:rPr>
        <w:t>PROHIBITION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rsidR="00B11542" w:rsidRPr="001D6447" w:rsidRDefault="00B11542" w:rsidP="00C80DF7">
      <w:pPr>
        <w:autoSpaceDE w:val="0"/>
        <w:autoSpaceDN w:val="0"/>
        <w:adjustRightInd w:val="0"/>
        <w:jc w:val="both"/>
        <w:rPr>
          <w:b/>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722181" w:rsidRPr="001D6447" w:rsidRDefault="00722181" w:rsidP="00C80DF7">
      <w:pPr>
        <w:autoSpaceDE w:val="0"/>
        <w:autoSpaceDN w:val="0"/>
        <w:adjustRightInd w:val="0"/>
        <w:jc w:val="both"/>
        <w:rPr>
          <w:color w:val="000000"/>
          <w:sz w:val="16"/>
          <w:szCs w:val="16"/>
        </w:rPr>
      </w:pPr>
    </w:p>
    <w:p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52.204-4</w:t>
      </w:r>
      <w:r w:rsidR="0050272D" w:rsidRPr="001D6447">
        <w:rPr>
          <w:color w:val="000000"/>
          <w:sz w:val="16"/>
          <w:szCs w:val="16"/>
        </w:rPr>
        <w:t xml:space="preserve">  </w:t>
      </w:r>
      <w:r w:rsidRPr="001D6447">
        <w:rPr>
          <w:b/>
          <w:color w:val="000000"/>
          <w:sz w:val="16"/>
          <w:szCs w:val="16"/>
        </w:rPr>
        <w:t>PRINTED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rsidR="00722181" w:rsidRPr="001D6447" w:rsidRDefault="00722181" w:rsidP="00C80DF7">
      <w:pPr>
        <w:autoSpaceDE w:val="0"/>
        <w:autoSpaceDN w:val="0"/>
        <w:adjustRightInd w:val="0"/>
        <w:jc w:val="both"/>
        <w:rPr>
          <w:color w:val="000000"/>
          <w:sz w:val="16"/>
          <w:szCs w:val="16"/>
        </w:rPr>
      </w:pPr>
    </w:p>
    <w:p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52.204-9</w:t>
      </w:r>
      <w:r w:rsidR="0050272D" w:rsidRPr="001D6447">
        <w:rPr>
          <w:color w:val="000000"/>
          <w:sz w:val="16"/>
          <w:szCs w:val="16"/>
        </w:rPr>
        <w:t xml:space="preserve">  </w:t>
      </w:r>
      <w:r w:rsidRPr="001D6447">
        <w:rPr>
          <w:b/>
          <w:color w:val="000000"/>
          <w:sz w:val="16"/>
          <w:szCs w:val="16"/>
        </w:rPr>
        <w:t>PERSONAL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federally-controlled facility or access to a federal information system. </w:t>
      </w:r>
    </w:p>
    <w:p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rsidR="00722181" w:rsidRPr="001D6447" w:rsidRDefault="00722181" w:rsidP="00C80DF7">
      <w:pPr>
        <w:autoSpaceDE w:val="0"/>
        <w:autoSpaceDN w:val="0"/>
        <w:adjustRightInd w:val="0"/>
        <w:jc w:val="both"/>
        <w:rPr>
          <w:sz w:val="16"/>
          <w:szCs w:val="16"/>
        </w:rPr>
      </w:pPr>
    </w:p>
    <w:p w:rsidR="00012C1D" w:rsidRPr="001D6447" w:rsidRDefault="0062166B" w:rsidP="00C80DF7">
      <w:pPr>
        <w:autoSpaceDE w:val="0"/>
        <w:autoSpaceDN w:val="0"/>
        <w:adjustRightInd w:val="0"/>
        <w:jc w:val="both"/>
        <w:rPr>
          <w:sz w:val="16"/>
          <w:szCs w:val="16"/>
        </w:rPr>
      </w:pPr>
      <w:r w:rsidRPr="001D6447">
        <w:rPr>
          <w:b/>
          <w:sz w:val="16"/>
          <w:szCs w:val="16"/>
        </w:rPr>
        <w:t>52.204-10</w:t>
      </w:r>
      <w:r w:rsidR="0050272D" w:rsidRPr="001D6447">
        <w:rPr>
          <w:sz w:val="16"/>
          <w:szCs w:val="16"/>
        </w:rPr>
        <w:t xml:space="preserve">  </w:t>
      </w:r>
      <w:r w:rsidR="00A56A60" w:rsidRPr="001D6447">
        <w:rPr>
          <w:b/>
          <w:sz w:val="16"/>
          <w:szCs w:val="16"/>
        </w:rPr>
        <w:t xml:space="preserve">REPORTING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rsidR="00967BA7" w:rsidRPr="001D6447" w:rsidRDefault="00967BA7" w:rsidP="00967BA7">
      <w:pPr>
        <w:autoSpaceDE w:val="0"/>
        <w:autoSpaceDN w:val="0"/>
        <w:adjustRightInd w:val="0"/>
        <w:jc w:val="both"/>
        <w:rPr>
          <w:b/>
          <w:color w:val="000000"/>
          <w:sz w:val="16"/>
          <w:szCs w:val="16"/>
        </w:rPr>
      </w:pPr>
    </w:p>
    <w:p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rsidR="00DF3AA6" w:rsidRPr="001D6447" w:rsidRDefault="00DF3AA6" w:rsidP="00C80DF7">
      <w:pPr>
        <w:autoSpaceDE w:val="0"/>
        <w:autoSpaceDN w:val="0"/>
        <w:adjustRightInd w:val="0"/>
        <w:jc w:val="both"/>
        <w:rPr>
          <w:b/>
          <w:color w:val="000000"/>
          <w:sz w:val="16"/>
          <w:szCs w:val="16"/>
        </w:rPr>
      </w:pPr>
    </w:p>
    <w:p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rsidR="00722181" w:rsidRPr="001D6447" w:rsidRDefault="00722181" w:rsidP="00C80DF7">
      <w:pPr>
        <w:autoSpaceDE w:val="0"/>
        <w:autoSpaceDN w:val="0"/>
        <w:adjustRightInd w:val="0"/>
        <w:jc w:val="both"/>
        <w:rPr>
          <w:color w:val="000000"/>
          <w:sz w:val="16"/>
          <w:szCs w:val="16"/>
        </w:rPr>
      </w:pPr>
    </w:p>
    <w:p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55018E">
        <w:rPr>
          <w:color w:val="000000"/>
          <w:sz w:val="16"/>
          <w:szCs w:val="16"/>
        </w:rPr>
        <w:t>NOV 2021</w:t>
      </w:r>
      <w:r w:rsidRPr="001D6447">
        <w:rPr>
          <w:b/>
          <w:color w:val="000000"/>
          <w:sz w:val="16"/>
          <w:szCs w:val="16"/>
        </w:rPr>
        <w:t xml:space="preserve"> </w:t>
      </w:r>
    </w:p>
    <w:p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rsidR="00461A9F" w:rsidRPr="001D6447" w:rsidRDefault="00461A9F" w:rsidP="00967BA7">
      <w:pPr>
        <w:autoSpaceDE w:val="0"/>
        <w:autoSpaceDN w:val="0"/>
        <w:adjustRightInd w:val="0"/>
        <w:jc w:val="both"/>
        <w:rPr>
          <w:b/>
          <w:color w:val="000000"/>
          <w:sz w:val="16"/>
          <w:szCs w:val="16"/>
        </w:rPr>
      </w:pPr>
    </w:p>
    <w:p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rsidR="00461A9F" w:rsidRPr="001D6447" w:rsidRDefault="00461A9F" w:rsidP="00F979B5">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rsidR="002D0FA1" w:rsidRDefault="002D0FA1" w:rsidP="00C80DF7">
      <w:pPr>
        <w:autoSpaceDE w:val="0"/>
        <w:autoSpaceDN w:val="0"/>
        <w:adjustRightInd w:val="0"/>
        <w:jc w:val="both"/>
        <w:rPr>
          <w:b/>
          <w:color w:val="000000"/>
          <w:sz w:val="16"/>
          <w:szCs w:val="16"/>
        </w:rPr>
      </w:pPr>
    </w:p>
    <w:p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rsidR="002D0FA1" w:rsidRDefault="002D0FA1" w:rsidP="008A0955">
      <w:pPr>
        <w:autoSpaceDE w:val="0"/>
        <w:autoSpaceDN w:val="0"/>
        <w:adjustRightInd w:val="0"/>
        <w:rPr>
          <w:b/>
          <w:color w:val="000000"/>
          <w:sz w:val="16"/>
          <w:szCs w:val="16"/>
        </w:rPr>
      </w:pPr>
    </w:p>
    <w:p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rsidR="00461A9F" w:rsidRDefault="00461A9F" w:rsidP="00C80DF7">
      <w:pPr>
        <w:autoSpaceDE w:val="0"/>
        <w:autoSpaceDN w:val="0"/>
        <w:adjustRightInd w:val="0"/>
        <w:jc w:val="both"/>
        <w:rPr>
          <w:b/>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rsidR="00722181" w:rsidRDefault="00722181" w:rsidP="00C80DF7">
      <w:pPr>
        <w:autoSpaceDE w:val="0"/>
        <w:autoSpaceDN w:val="0"/>
        <w:adjustRightInd w:val="0"/>
        <w:jc w:val="both"/>
        <w:rPr>
          <w:color w:val="000000"/>
          <w:sz w:val="16"/>
          <w:szCs w:val="16"/>
        </w:rPr>
      </w:pPr>
    </w:p>
    <w:p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722181" w:rsidRDefault="00722181" w:rsidP="00C80DF7">
      <w:pPr>
        <w:autoSpaceDE w:val="0"/>
        <w:autoSpaceDN w:val="0"/>
        <w:adjustRightInd w:val="0"/>
        <w:jc w:val="both"/>
        <w:rPr>
          <w:color w:val="000000"/>
          <w:sz w:val="16"/>
          <w:szCs w:val="16"/>
        </w:rPr>
      </w:pPr>
    </w:p>
    <w:p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rsidR="00722181" w:rsidRDefault="00722181" w:rsidP="00C80DF7">
      <w:pPr>
        <w:autoSpaceDE w:val="0"/>
        <w:autoSpaceDN w:val="0"/>
        <w:adjustRightInd w:val="0"/>
        <w:jc w:val="both"/>
        <w:rPr>
          <w:color w:val="000000"/>
          <w:sz w:val="16"/>
          <w:szCs w:val="16"/>
        </w:rPr>
      </w:pPr>
    </w:p>
    <w:p w:rsidR="008A0955" w:rsidRDefault="008A0955" w:rsidP="00C80DF7">
      <w:pPr>
        <w:autoSpaceDE w:val="0"/>
        <w:autoSpaceDN w:val="0"/>
        <w:adjustRightInd w:val="0"/>
        <w:jc w:val="both"/>
        <w:rPr>
          <w:b/>
          <w:color w:val="000000"/>
          <w:sz w:val="16"/>
          <w:szCs w:val="16"/>
        </w:rPr>
      </w:pPr>
    </w:p>
    <w:p w:rsidR="00230558"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rsidR="00722181" w:rsidRDefault="00722181" w:rsidP="00C80DF7">
      <w:pPr>
        <w:autoSpaceDE w:val="0"/>
        <w:autoSpaceDN w:val="0"/>
        <w:adjustRightInd w:val="0"/>
        <w:jc w:val="both"/>
        <w:rPr>
          <w:color w:val="000000"/>
          <w:sz w:val="16"/>
          <w:szCs w:val="16"/>
        </w:rPr>
      </w:pPr>
    </w:p>
    <w:p w:rsidR="00E47769" w:rsidRDefault="00315B90" w:rsidP="00C80DF7">
      <w:pPr>
        <w:autoSpaceDE w:val="0"/>
        <w:autoSpaceDN w:val="0"/>
        <w:adjustRightInd w:val="0"/>
        <w:jc w:val="both"/>
        <w:rPr>
          <w:color w:val="000000"/>
          <w:sz w:val="16"/>
          <w:szCs w:val="16"/>
        </w:rPr>
      </w:pPr>
      <w:r w:rsidRPr="00A231F2">
        <w:rPr>
          <w:b/>
          <w:color w:val="000000"/>
          <w:sz w:val="16"/>
          <w:szCs w:val="16"/>
        </w:rPr>
        <w:t>52.215-12</w:t>
      </w:r>
      <w:r w:rsidR="00016A1E">
        <w:rPr>
          <w:color w:val="000000"/>
          <w:sz w:val="16"/>
          <w:szCs w:val="16"/>
        </w:rPr>
        <w:t xml:space="preserve">  </w:t>
      </w:r>
      <w:r w:rsidRPr="00A231F2">
        <w:rPr>
          <w:b/>
          <w:color w:val="000000"/>
          <w:sz w:val="16"/>
          <w:szCs w:val="16"/>
        </w:rPr>
        <w:t>SUBCONTRACTOR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w:t>
      </w:r>
      <w:r w:rsidR="008518DE">
        <w:rPr>
          <w:b/>
          <w:color w:val="000000"/>
          <w:sz w:val="16"/>
          <w:szCs w:val="16"/>
        </w:rPr>
        <w:t>4</w:t>
      </w:r>
      <w:r w:rsidR="00016A1E">
        <w:rPr>
          <w:color w:val="000000"/>
          <w:sz w:val="16"/>
          <w:szCs w:val="16"/>
        </w:rPr>
        <w:t xml:space="preserve">  </w:t>
      </w:r>
      <w:r w:rsidR="008518DE">
        <w:rPr>
          <w:b/>
          <w:color w:val="000000"/>
          <w:sz w:val="16"/>
          <w:szCs w:val="16"/>
        </w:rPr>
        <w:t>INTEGRITY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rsidR="008518DE" w:rsidRDefault="008518DE" w:rsidP="008518DE">
      <w:pPr>
        <w:autoSpaceDE w:val="0"/>
        <w:autoSpaceDN w:val="0"/>
        <w:adjustRightInd w:val="0"/>
        <w:jc w:val="both"/>
        <w:rPr>
          <w:b/>
          <w:color w:val="000000"/>
          <w:sz w:val="16"/>
          <w:szCs w:val="16"/>
        </w:rPr>
      </w:pPr>
    </w:p>
    <w:p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rsidR="00722181" w:rsidRDefault="00722181" w:rsidP="00C80DF7">
      <w:pPr>
        <w:autoSpaceDE w:val="0"/>
        <w:autoSpaceDN w:val="0"/>
        <w:adjustRightInd w:val="0"/>
        <w:jc w:val="both"/>
        <w:rPr>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rsidR="00722181" w:rsidRDefault="00722181" w:rsidP="00C80DF7">
      <w:pPr>
        <w:autoSpaceDE w:val="0"/>
        <w:autoSpaceDN w:val="0"/>
        <w:adjustRightInd w:val="0"/>
        <w:jc w:val="both"/>
        <w:rPr>
          <w:color w:val="000000"/>
          <w:sz w:val="16"/>
          <w:szCs w:val="16"/>
        </w:rPr>
      </w:pPr>
    </w:p>
    <w:p w:rsidR="000B2927" w:rsidRDefault="00016A1E" w:rsidP="00C80DF7">
      <w:pPr>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00230558" w:rsidRPr="00A231F2">
        <w:rPr>
          <w:b/>
          <w:color w:val="000000"/>
          <w:sz w:val="16"/>
          <w:szCs w:val="16"/>
        </w:rPr>
        <w:t>REQUIREMENTS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52.216-7</w:t>
      </w:r>
      <w:r w:rsidR="00016A1E">
        <w:rPr>
          <w:color w:val="000000"/>
          <w:sz w:val="16"/>
          <w:szCs w:val="16"/>
        </w:rPr>
        <w:t xml:space="preserve">  </w:t>
      </w:r>
      <w:r w:rsidRPr="00A231F2">
        <w:rPr>
          <w:b/>
          <w:color w:val="000000"/>
          <w:sz w:val="16"/>
          <w:szCs w:val="16"/>
        </w:rPr>
        <w:t>ALLOWABLE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rsidR="00722181" w:rsidRDefault="00722181" w:rsidP="00C80DF7">
      <w:pPr>
        <w:autoSpaceDE w:val="0"/>
        <w:autoSpaceDN w:val="0"/>
        <w:adjustRightInd w:val="0"/>
        <w:jc w:val="both"/>
        <w:rPr>
          <w:color w:val="000000"/>
          <w:sz w:val="16"/>
          <w:szCs w:val="16"/>
        </w:rPr>
      </w:pPr>
    </w:p>
    <w:p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00230558" w:rsidRPr="00A231F2">
        <w:rPr>
          <w:b/>
          <w:color w:val="000000"/>
          <w:sz w:val="16"/>
          <w:szCs w:val="16"/>
        </w:rPr>
        <w:t>SMALL BUSINESS SUBCONTRACTING PLAN</w:t>
      </w:r>
      <w:r w:rsidR="00856FA4">
        <w:rPr>
          <w:b/>
          <w:color w:val="000000"/>
          <w:sz w:val="16"/>
          <w:szCs w:val="16"/>
        </w:rPr>
        <w:t xml:space="preserve"> (ALT II)</w:t>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16</w:t>
      </w:r>
    </w:p>
    <w:p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rsidR="00722181" w:rsidRDefault="00722181" w:rsidP="004C42F0">
      <w:pPr>
        <w:widowControl/>
        <w:autoSpaceDE w:val="0"/>
        <w:autoSpaceDN w:val="0"/>
        <w:adjustRightInd w:val="0"/>
        <w:jc w:val="both"/>
        <w:rPr>
          <w:color w:val="000000"/>
          <w:sz w:val="16"/>
          <w:szCs w:val="16"/>
        </w:rPr>
      </w:pPr>
    </w:p>
    <w:p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rsidR="00722181" w:rsidRPr="00FD5189"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856FA4">
        <w:rPr>
          <w:color w:val="000000"/>
          <w:sz w:val="16"/>
          <w:szCs w:val="16"/>
        </w:rPr>
        <w:t>2</w:t>
      </w:r>
    </w:p>
    <w:p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rsidR="00EA29EF" w:rsidRDefault="00EA29EF" w:rsidP="00C80DF7">
      <w:pPr>
        <w:autoSpaceDE w:val="0"/>
        <w:autoSpaceDN w:val="0"/>
        <w:adjustRightInd w:val="0"/>
        <w:jc w:val="both"/>
        <w:rPr>
          <w:color w:val="000000"/>
          <w:sz w:val="16"/>
          <w:szCs w:val="16"/>
        </w:rPr>
      </w:pPr>
    </w:p>
    <w:p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Applies to Contract with value in excess of $10,000. Note 7 applies to (c)(3) and (c)(5).</w:t>
      </w:r>
    </w:p>
    <w:p w:rsidR="00EA29EF" w:rsidRDefault="00EA29EF" w:rsidP="00C80DF7">
      <w:pPr>
        <w:autoSpaceDE w:val="0"/>
        <w:autoSpaceDN w:val="0"/>
        <w:adjustRightInd w:val="0"/>
        <w:jc w:val="both"/>
        <w:rPr>
          <w:color w:val="000000"/>
          <w:sz w:val="16"/>
          <w:szCs w:val="16"/>
        </w:rPr>
      </w:pPr>
    </w:p>
    <w:p w:rsidR="00F11B32" w:rsidRDefault="00F11B32" w:rsidP="00C80DF7">
      <w:pPr>
        <w:autoSpaceDE w:val="0"/>
        <w:autoSpaceDN w:val="0"/>
        <w:adjustRightInd w:val="0"/>
        <w:jc w:val="both"/>
        <w:rPr>
          <w:b/>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lastRenderedPageBreak/>
        <w:t>52.222-35</w:t>
      </w:r>
      <w:r w:rsidR="00BB7F0E">
        <w:rPr>
          <w:color w:val="000000"/>
          <w:sz w:val="16"/>
          <w:szCs w:val="16"/>
        </w:rPr>
        <w:t xml:space="preserve">  </w:t>
      </w:r>
      <w:r w:rsidRPr="00EF05D8">
        <w:rPr>
          <w:b/>
          <w:color w:val="000000"/>
          <w:sz w:val="16"/>
          <w:szCs w:val="16"/>
        </w:rPr>
        <w:t>EQUAL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rsidR="00FD5189" w:rsidRDefault="00FD5189" w:rsidP="00C80DF7">
      <w:pPr>
        <w:autoSpaceDE w:val="0"/>
        <w:autoSpaceDN w:val="0"/>
        <w:adjustRightInd w:val="0"/>
        <w:jc w:val="both"/>
        <w:rPr>
          <w:b/>
          <w:color w:val="000000"/>
          <w:sz w:val="16"/>
          <w:szCs w:val="16"/>
        </w:rPr>
      </w:pPr>
    </w:p>
    <w:p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F11B32">
        <w:rPr>
          <w:color w:val="000000"/>
          <w:sz w:val="16"/>
          <w:szCs w:val="16"/>
        </w:rPr>
        <w:t>NOV</w:t>
      </w:r>
      <w:r w:rsidR="00F11B32" w:rsidRPr="006F7753">
        <w:rPr>
          <w:color w:val="000000"/>
          <w:sz w:val="16"/>
          <w:szCs w:val="16"/>
        </w:rPr>
        <w:t xml:space="preserve"> 20</w:t>
      </w:r>
      <w:r w:rsidR="00F11B32">
        <w:rPr>
          <w:color w:val="000000"/>
          <w:sz w:val="16"/>
          <w:szCs w:val="16"/>
        </w:rPr>
        <w:t>21</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MAY </w:t>
      </w:r>
      <w:r w:rsidR="000503DC" w:rsidRPr="00FD5189">
        <w:rPr>
          <w:color w:val="000000"/>
          <w:sz w:val="16"/>
          <w:szCs w:val="16"/>
        </w:rPr>
        <w:t>20</w:t>
      </w:r>
      <w:r w:rsidR="00F11B32">
        <w:rPr>
          <w:color w:val="000000"/>
          <w:sz w:val="16"/>
          <w:szCs w:val="16"/>
        </w:rPr>
        <w:t>22</w:t>
      </w:r>
    </w:p>
    <w:p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003077F3">
        <w:rPr>
          <w:b/>
          <w:color w:val="000000"/>
          <w:sz w:val="16"/>
          <w:szCs w:val="16"/>
        </w:rPr>
        <w:t>POLLUTION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52.223-6</w:t>
      </w:r>
      <w:r w:rsidR="00342CE6" w:rsidRPr="00FD5189">
        <w:rPr>
          <w:color w:val="000000"/>
          <w:sz w:val="16"/>
          <w:szCs w:val="16"/>
        </w:rPr>
        <w:t xml:space="preserve">  </w:t>
      </w:r>
      <w:r w:rsidRPr="00FD5189">
        <w:rPr>
          <w:b/>
          <w:color w:val="000000"/>
          <w:sz w:val="16"/>
          <w:szCs w:val="16"/>
        </w:rPr>
        <w:t>DRUG-FREE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rsidR="00EA29EF" w:rsidRPr="00FD5189" w:rsidRDefault="00EA29EF" w:rsidP="00C80DF7">
      <w:pPr>
        <w:autoSpaceDE w:val="0"/>
        <w:autoSpaceDN w:val="0"/>
        <w:adjustRightInd w:val="0"/>
        <w:jc w:val="both"/>
        <w:rPr>
          <w:color w:val="000000"/>
          <w:sz w:val="16"/>
          <w:szCs w:val="16"/>
        </w:rPr>
      </w:pPr>
    </w:p>
    <w:p w:rsidR="00140DAF" w:rsidRDefault="005D451D" w:rsidP="00C80DF7">
      <w:pPr>
        <w:autoSpaceDE w:val="0"/>
        <w:autoSpaceDN w:val="0"/>
        <w:adjustRightInd w:val="0"/>
        <w:jc w:val="both"/>
        <w:rPr>
          <w:color w:val="000000"/>
          <w:sz w:val="16"/>
          <w:szCs w:val="16"/>
        </w:rPr>
      </w:pPr>
      <w:r w:rsidRPr="00FD5189">
        <w:rPr>
          <w:b/>
          <w:color w:val="000000"/>
          <w:sz w:val="16"/>
          <w:szCs w:val="16"/>
        </w:rPr>
        <w:t>52.223-11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rsidR="00EA29EF" w:rsidRPr="00FD5189" w:rsidRDefault="00EA29EF" w:rsidP="00C80DF7">
      <w:pPr>
        <w:autoSpaceDE w:val="0"/>
        <w:autoSpaceDN w:val="0"/>
        <w:adjustRightInd w:val="0"/>
        <w:jc w:val="both"/>
        <w:rPr>
          <w:color w:val="000000"/>
          <w:sz w:val="16"/>
          <w:szCs w:val="16"/>
        </w:rPr>
      </w:pPr>
    </w:p>
    <w:p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 xml:space="preserve">MAINTENANCE,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rsidR="00EA29EF" w:rsidRDefault="00EA29EF" w:rsidP="00C80DF7">
      <w:pPr>
        <w:autoSpaceDE w:val="0"/>
        <w:autoSpaceDN w:val="0"/>
        <w:adjustRightInd w:val="0"/>
        <w:jc w:val="both"/>
        <w:rPr>
          <w:color w:val="000000"/>
          <w:sz w:val="16"/>
          <w:szCs w:val="16"/>
        </w:rPr>
      </w:pPr>
    </w:p>
    <w:p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rsidR="0007257D" w:rsidRPr="006F7753" w:rsidRDefault="0007257D" w:rsidP="004E5421">
      <w:pPr>
        <w:tabs>
          <w:tab w:val="left" w:pos="8280"/>
        </w:tabs>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52.223-18</w:t>
      </w:r>
      <w:r w:rsidR="00342CE6">
        <w:rPr>
          <w:color w:val="000000"/>
          <w:sz w:val="16"/>
          <w:szCs w:val="16"/>
        </w:rPr>
        <w:t xml:space="preserve">  </w:t>
      </w:r>
      <w:r w:rsidR="007F70E9" w:rsidRPr="00EF05D8">
        <w:rPr>
          <w:b/>
          <w:color w:val="000000"/>
          <w:sz w:val="16"/>
          <w:szCs w:val="16"/>
        </w:rPr>
        <w:t xml:space="preserve">ENCOURAGING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07257D">
        <w:rPr>
          <w:color w:val="000000"/>
          <w:sz w:val="16"/>
          <w:szCs w:val="16"/>
        </w:rPr>
        <w:t>JUN 2020</w:t>
      </w:r>
    </w:p>
    <w:p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rsidR="003652FC" w:rsidRPr="003652FC" w:rsidRDefault="003652FC" w:rsidP="00C80DF7">
      <w:pPr>
        <w:autoSpaceDE w:val="0"/>
        <w:autoSpaceDN w:val="0"/>
        <w:adjustRightInd w:val="0"/>
        <w:jc w:val="both"/>
        <w:rPr>
          <w:sz w:val="16"/>
          <w:szCs w:val="16"/>
        </w:rPr>
      </w:pPr>
    </w:p>
    <w:p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rsidR="004E5421" w:rsidRDefault="004E5421"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rsidR="008F1FF3" w:rsidRDefault="008F1FF3" w:rsidP="00C80DF7">
      <w:pPr>
        <w:autoSpaceDE w:val="0"/>
        <w:autoSpaceDN w:val="0"/>
        <w:adjustRightInd w:val="0"/>
        <w:jc w:val="both"/>
        <w:rPr>
          <w:b/>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-1</w:t>
      </w:r>
      <w:r w:rsidR="00342CE6">
        <w:rPr>
          <w:color w:val="000000"/>
          <w:sz w:val="16"/>
          <w:szCs w:val="16"/>
        </w:rPr>
        <w:t xml:space="preserve">  </w:t>
      </w:r>
      <w:r w:rsidRPr="00A54A1D">
        <w:rPr>
          <w:b/>
          <w:color w:val="000000"/>
          <w:sz w:val="16"/>
          <w:szCs w:val="16"/>
        </w:rPr>
        <w:t>AUTHORIZATION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52.227-2</w:t>
      </w:r>
      <w:r w:rsidR="00342CE6">
        <w:rPr>
          <w:color w:val="000000"/>
          <w:sz w:val="16"/>
          <w:szCs w:val="16"/>
        </w:rPr>
        <w:t xml:space="preserve">  </w:t>
      </w:r>
      <w:r w:rsidRPr="00A54A1D">
        <w:rPr>
          <w:b/>
          <w:color w:val="000000"/>
          <w:sz w:val="16"/>
          <w:szCs w:val="16"/>
        </w:rPr>
        <w:t>NOTICE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EA29EF" w:rsidRDefault="00EA29EF" w:rsidP="00C80DF7">
      <w:pPr>
        <w:autoSpaceDE w:val="0"/>
        <w:autoSpaceDN w:val="0"/>
        <w:adjustRightInd w:val="0"/>
        <w:jc w:val="both"/>
        <w:rPr>
          <w:color w:val="000000"/>
          <w:sz w:val="16"/>
          <w:szCs w:val="16"/>
        </w:rPr>
      </w:pPr>
    </w:p>
    <w:p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 xml:space="preserve">PATENT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rsidR="00A07DF6" w:rsidRDefault="00DC59D2" w:rsidP="00614C23">
      <w:pPr>
        <w:autoSpaceDE w:val="0"/>
        <w:autoSpaceDN w:val="0"/>
        <w:adjustRightInd w:val="0"/>
        <w:rPr>
          <w:i/>
          <w:sz w:val="16"/>
          <w:szCs w:val="16"/>
          <w:u w:val="single"/>
        </w:rPr>
      </w:pPr>
      <w:r w:rsidRPr="006F7753">
        <w:rPr>
          <w:i/>
          <w:sz w:val="16"/>
          <w:szCs w:val="16"/>
          <w:u w:val="single"/>
        </w:rPr>
        <w:t>Note 5 applies in (b)(2)(i), (e)(1), (e)(2), (e)(3), (f)(2), and (g).  Seller is to provide its disclosures and reports to</w:t>
      </w:r>
    </w:p>
    <w:p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rsidR="008F1FF3" w:rsidRDefault="008F1FF3" w:rsidP="008F1FF3">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52.230-2</w:t>
      </w:r>
      <w:r w:rsidR="00813A3C">
        <w:rPr>
          <w:color w:val="000000"/>
          <w:sz w:val="16"/>
          <w:szCs w:val="16"/>
        </w:rPr>
        <w:t xml:space="preserve">  </w:t>
      </w:r>
      <w:r w:rsidRPr="00A54A1D">
        <w:rPr>
          <w:b/>
          <w:color w:val="000000"/>
          <w:sz w:val="16"/>
          <w:szCs w:val="16"/>
        </w:rPr>
        <w:t>COST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lastRenderedPageBreak/>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rsidR="00EA29EF" w:rsidRDefault="00EA29EF" w:rsidP="00C80DF7">
      <w:pPr>
        <w:autoSpaceDE w:val="0"/>
        <w:autoSpaceDN w:val="0"/>
        <w:adjustRightInd w:val="0"/>
        <w:jc w:val="both"/>
        <w:rPr>
          <w:i/>
          <w:color w:val="000000"/>
          <w:sz w:val="16"/>
          <w:szCs w:val="16"/>
        </w:rPr>
      </w:pPr>
    </w:p>
    <w:p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52.232-23</w:t>
      </w:r>
      <w:r w:rsidR="00813A3C" w:rsidRPr="00A54A1D">
        <w:rPr>
          <w:b/>
          <w:color w:val="000000"/>
          <w:sz w:val="16"/>
          <w:szCs w:val="16"/>
        </w:rPr>
        <w:t xml:space="preserve"> </w:t>
      </w:r>
      <w:r w:rsidRPr="00A54A1D">
        <w:rPr>
          <w:b/>
          <w:color w:val="000000"/>
          <w:sz w:val="16"/>
          <w:szCs w:val="16"/>
        </w:rPr>
        <w:t xml:space="preserve"> ASSIGNMENT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rsidR="006738EE" w:rsidRDefault="006738EE" w:rsidP="006738EE">
      <w:pPr>
        <w:autoSpaceDE w:val="0"/>
        <w:autoSpaceDN w:val="0"/>
        <w:adjustRightInd w:val="0"/>
        <w:jc w:val="both"/>
        <w:rPr>
          <w:b/>
          <w:color w:val="000000"/>
          <w:sz w:val="16"/>
          <w:szCs w:val="16"/>
        </w:rPr>
      </w:pPr>
    </w:p>
    <w:p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07257D">
        <w:rPr>
          <w:color w:val="000000"/>
          <w:sz w:val="16"/>
          <w:szCs w:val="16"/>
        </w:rPr>
        <w:t>NOV</w:t>
      </w:r>
      <w:r w:rsidRPr="006F7753">
        <w:rPr>
          <w:color w:val="000000"/>
          <w:sz w:val="16"/>
          <w:szCs w:val="16"/>
        </w:rPr>
        <w:t xml:space="preserve"> </w:t>
      </w:r>
      <w:r>
        <w:rPr>
          <w:color w:val="000000"/>
          <w:sz w:val="16"/>
          <w:szCs w:val="16"/>
        </w:rPr>
        <w:t>20</w:t>
      </w:r>
      <w:r w:rsidR="0007257D">
        <w:rPr>
          <w:color w:val="000000"/>
          <w:sz w:val="16"/>
          <w:szCs w:val="16"/>
        </w:rPr>
        <w:t>21</w:t>
      </w:r>
    </w:p>
    <w:p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52.233-3</w:t>
      </w:r>
      <w:r w:rsidR="00813A3C" w:rsidRPr="001259BB">
        <w:rPr>
          <w:color w:val="000000"/>
          <w:sz w:val="16"/>
          <w:szCs w:val="16"/>
        </w:rPr>
        <w:t xml:space="preserve">  </w:t>
      </w:r>
      <w:r w:rsidRPr="001259BB">
        <w:rPr>
          <w:b/>
          <w:color w:val="000000"/>
          <w:sz w:val="16"/>
          <w:szCs w:val="16"/>
        </w:rPr>
        <w:t>PROTEST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rsidR="00EA29EF" w:rsidRDefault="00EA29EF" w:rsidP="00C80DF7">
      <w:pPr>
        <w:autoSpaceDE w:val="0"/>
        <w:autoSpaceDN w:val="0"/>
        <w:adjustRightInd w:val="0"/>
        <w:jc w:val="both"/>
        <w:rPr>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INDUSTRIAL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1259BB">
      <w:pPr>
        <w:autoSpaceDE w:val="0"/>
        <w:autoSpaceDN w:val="0"/>
        <w:adjustRightInd w:val="0"/>
        <w:jc w:val="both"/>
        <w:rPr>
          <w:b/>
          <w:color w:val="000000"/>
          <w:sz w:val="16"/>
          <w:szCs w:val="16"/>
        </w:rPr>
      </w:pPr>
    </w:p>
    <w:p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rsidR="001259BB" w:rsidRDefault="001259BB"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rsidR="00EA29EF" w:rsidRDefault="00EA29EF" w:rsidP="00C80DF7">
      <w:pPr>
        <w:autoSpaceDE w:val="0"/>
        <w:autoSpaceDN w:val="0"/>
        <w:adjustRightInd w:val="0"/>
        <w:jc w:val="both"/>
        <w:rPr>
          <w:color w:val="000000"/>
          <w:sz w:val="16"/>
          <w:szCs w:val="16"/>
        </w:rPr>
      </w:pPr>
    </w:p>
    <w:p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rsidR="00EA29EF" w:rsidRDefault="00EA29EF" w:rsidP="00C80DF7">
      <w:pPr>
        <w:autoSpaceDE w:val="0"/>
        <w:autoSpaceDN w:val="0"/>
        <w:adjustRightInd w:val="0"/>
        <w:jc w:val="both"/>
        <w:rPr>
          <w:color w:val="000000"/>
          <w:sz w:val="16"/>
          <w:szCs w:val="16"/>
        </w:rPr>
      </w:pPr>
    </w:p>
    <w:p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rsidR="00EA29EF"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52.244-2</w:t>
      </w:r>
      <w:r w:rsidR="00E978CB" w:rsidRPr="00FD5189">
        <w:rPr>
          <w:b/>
          <w:color w:val="000000"/>
          <w:sz w:val="16"/>
          <w:szCs w:val="16"/>
        </w:rPr>
        <w:t xml:space="preserve">  </w:t>
      </w:r>
      <w:r w:rsidRPr="00FD5189">
        <w:rPr>
          <w:b/>
          <w:color w:val="000000"/>
          <w:sz w:val="16"/>
          <w:szCs w:val="16"/>
        </w:rPr>
        <w:t>SUBCONTRACTS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rsidR="00EA29EF" w:rsidRDefault="00EA29EF" w:rsidP="00C80DF7">
      <w:pPr>
        <w:autoSpaceDE w:val="0"/>
        <w:autoSpaceDN w:val="0"/>
        <w:adjustRightInd w:val="0"/>
        <w:jc w:val="both"/>
        <w:rPr>
          <w:color w:val="000000"/>
          <w:sz w:val="16"/>
          <w:szCs w:val="16"/>
        </w:rPr>
      </w:pPr>
    </w:p>
    <w:p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Pr="00FD5189">
        <w:rPr>
          <w:b/>
          <w:color w:val="000000"/>
          <w:sz w:val="16"/>
          <w:szCs w:val="16"/>
        </w:rPr>
        <w:t xml:space="preserve">  </w:t>
      </w:r>
      <w:r>
        <w:rPr>
          <w:b/>
          <w:color w:val="000000"/>
          <w:sz w:val="16"/>
          <w:szCs w:val="16"/>
        </w:rPr>
        <w:t xml:space="preserve">SUBCONTRACTS FOR COMMERCIAL </w:t>
      </w:r>
      <w:r w:rsidR="0007257D">
        <w:rPr>
          <w:b/>
          <w:color w:val="000000"/>
          <w:sz w:val="16"/>
          <w:szCs w:val="16"/>
        </w:rPr>
        <w:t>PRODUCTS AND COMMERCIAL SERVICES</w:t>
      </w:r>
      <w:r w:rsidR="0007257D">
        <w:rPr>
          <w:b/>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JAN</w:t>
      </w:r>
      <w:r>
        <w:rPr>
          <w:color w:val="000000"/>
          <w:sz w:val="16"/>
          <w:szCs w:val="16"/>
        </w:rPr>
        <w:t xml:space="preserve"> 20</w:t>
      </w:r>
      <w:r w:rsidR="0007257D">
        <w:rPr>
          <w:color w:val="000000"/>
          <w:sz w:val="16"/>
          <w:szCs w:val="16"/>
        </w:rPr>
        <w:t>22</w:t>
      </w:r>
    </w:p>
    <w:p w:rsidR="00C77EA9" w:rsidRPr="00FD5189" w:rsidRDefault="00C77EA9" w:rsidP="00C80DF7">
      <w:pPr>
        <w:autoSpaceDE w:val="0"/>
        <w:autoSpaceDN w:val="0"/>
        <w:adjustRightInd w:val="0"/>
        <w:jc w:val="both"/>
        <w:rPr>
          <w:color w:val="000000"/>
          <w:sz w:val="16"/>
          <w:szCs w:val="16"/>
        </w:rPr>
      </w:pPr>
    </w:p>
    <w:p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52.245-1</w:t>
      </w:r>
      <w:r w:rsidR="00E978CB" w:rsidRPr="00FD5189">
        <w:rPr>
          <w:b/>
          <w:color w:val="000000"/>
          <w:sz w:val="16"/>
          <w:szCs w:val="16"/>
        </w:rPr>
        <w:t xml:space="preserve">  </w:t>
      </w:r>
      <w:r w:rsidRPr="00FD5189">
        <w:rPr>
          <w:b/>
          <w:color w:val="000000"/>
          <w:sz w:val="16"/>
          <w:szCs w:val="16"/>
        </w:rPr>
        <w:t>GOVERNMENT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rsidR="00EA29EF" w:rsidRPr="00FD5189" w:rsidRDefault="00EA29EF" w:rsidP="00C80DF7">
      <w:pPr>
        <w:autoSpaceDE w:val="0"/>
        <w:autoSpaceDN w:val="0"/>
        <w:adjustRightInd w:val="0"/>
        <w:jc w:val="both"/>
        <w:rPr>
          <w:color w:val="000000"/>
          <w:sz w:val="16"/>
          <w:szCs w:val="16"/>
        </w:rPr>
      </w:pPr>
    </w:p>
    <w:p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52.248-1</w:t>
      </w:r>
      <w:r w:rsidR="00E978CB" w:rsidRPr="00FD5189">
        <w:rPr>
          <w:color w:val="000000"/>
          <w:sz w:val="16"/>
          <w:szCs w:val="16"/>
        </w:rPr>
        <w:t xml:space="preserve">  </w:t>
      </w:r>
      <w:r w:rsidRPr="00FD5189">
        <w:rPr>
          <w:b/>
          <w:color w:val="000000"/>
          <w:sz w:val="16"/>
          <w:szCs w:val="16"/>
        </w:rPr>
        <w:t>VALUE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52.249-2</w:t>
      </w:r>
      <w:r w:rsidR="00E978CB" w:rsidRPr="00FD5189">
        <w:rPr>
          <w:b/>
          <w:color w:val="000000"/>
          <w:sz w:val="16"/>
          <w:szCs w:val="16"/>
        </w:rPr>
        <w:t xml:space="preserve">  </w:t>
      </w:r>
      <w:r w:rsidRPr="00FD5189">
        <w:rPr>
          <w:b/>
          <w:color w:val="000000"/>
          <w:sz w:val="16"/>
          <w:szCs w:val="16"/>
        </w:rPr>
        <w:t>TERMINATION FOR CONVENI</w:t>
      </w:r>
      <w:r w:rsidR="00922BC0" w:rsidRPr="00FD5189">
        <w:rPr>
          <w:b/>
          <w:color w:val="000000"/>
          <w:sz w:val="16"/>
          <w:szCs w:val="16"/>
        </w:rPr>
        <w:t>E</w:t>
      </w:r>
      <w:r w:rsidRPr="00FD5189">
        <w:rPr>
          <w:b/>
          <w:color w:val="000000"/>
          <w:sz w:val="16"/>
          <w:szCs w:val="16"/>
        </w:rPr>
        <w:t>NCE OF THE</w:t>
      </w: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rsidR="00EA29EF" w:rsidRPr="00FD5189" w:rsidRDefault="00EA29EF" w:rsidP="00C80DF7">
      <w:pPr>
        <w:autoSpaceDE w:val="0"/>
        <w:autoSpaceDN w:val="0"/>
        <w:adjustRightInd w:val="0"/>
        <w:jc w:val="both"/>
        <w:rPr>
          <w:color w:val="000000"/>
          <w:sz w:val="16"/>
          <w:szCs w:val="16"/>
        </w:rPr>
      </w:pPr>
    </w:p>
    <w:p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rsidR="00EA29EF" w:rsidRPr="00FD5189" w:rsidRDefault="00EA29EF" w:rsidP="00C80DF7">
      <w:pPr>
        <w:autoSpaceDE w:val="0"/>
        <w:autoSpaceDN w:val="0"/>
        <w:adjustRightInd w:val="0"/>
        <w:jc w:val="both"/>
        <w:rPr>
          <w:color w:val="000000"/>
          <w:sz w:val="16"/>
          <w:szCs w:val="16"/>
        </w:rPr>
      </w:pPr>
    </w:p>
    <w:p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rsidR="00662D4D" w:rsidRPr="00FD5189" w:rsidRDefault="00662D4D" w:rsidP="00C80DF7">
      <w:pPr>
        <w:autoSpaceDE w:val="0"/>
        <w:autoSpaceDN w:val="0"/>
        <w:adjustRightInd w:val="0"/>
        <w:jc w:val="both"/>
        <w:rPr>
          <w:b/>
          <w:color w:val="000000"/>
          <w:sz w:val="16"/>
          <w:szCs w:val="16"/>
        </w:rPr>
      </w:pPr>
    </w:p>
    <w:p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6" w:name="Pg6"/>
      <w:bookmarkEnd w:id="6"/>
      <w:r w:rsidR="00724676" w:rsidRPr="006F7753">
        <w:rPr>
          <w:color w:val="000000"/>
          <w:sz w:val="16"/>
          <w:szCs w:val="16"/>
        </w:rPr>
        <w:tab/>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lastRenderedPageBreak/>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rsidR="00EA29EF" w:rsidRDefault="00EA29EF" w:rsidP="00C80DF7">
      <w:pPr>
        <w:autoSpaceDE w:val="0"/>
        <w:autoSpaceDN w:val="0"/>
        <w:adjustRightInd w:val="0"/>
        <w:jc w:val="both"/>
        <w:rPr>
          <w:color w:val="000000"/>
          <w:sz w:val="16"/>
          <w:szCs w:val="16"/>
        </w:rPr>
      </w:pPr>
    </w:p>
    <w:p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5A4B0C">
        <w:rPr>
          <w:color w:val="000000"/>
          <w:sz w:val="16"/>
          <w:szCs w:val="16"/>
        </w:rPr>
        <w:t>OCT 2015</w:t>
      </w:r>
      <w:r w:rsidR="00230558" w:rsidRPr="006F7753">
        <w:rPr>
          <w:color w:val="000000"/>
          <w:sz w:val="16"/>
          <w:szCs w:val="16"/>
        </w:rPr>
        <w:tab/>
      </w:r>
    </w:p>
    <w:p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rsidR="00B57156" w:rsidRDefault="00B57156" w:rsidP="00C80DF7">
      <w:pPr>
        <w:autoSpaceDE w:val="0"/>
        <w:autoSpaceDN w:val="0"/>
        <w:adjustRightInd w:val="0"/>
        <w:jc w:val="both"/>
        <w:rPr>
          <w:color w:val="000000"/>
          <w:sz w:val="16"/>
          <w:szCs w:val="16"/>
        </w:rPr>
      </w:pPr>
    </w:p>
    <w:p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rsidR="00B57156" w:rsidRPr="00FD5189" w:rsidRDefault="00B57156" w:rsidP="00C80DF7">
      <w:pPr>
        <w:autoSpaceDE w:val="0"/>
        <w:autoSpaceDN w:val="0"/>
        <w:adjustRightInd w:val="0"/>
        <w:jc w:val="both"/>
        <w:rPr>
          <w:color w:val="000000"/>
          <w:sz w:val="16"/>
          <w:szCs w:val="16"/>
        </w:rPr>
      </w:pPr>
    </w:p>
    <w:p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t>OCT 2016</w:t>
      </w:r>
    </w:p>
    <w:p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rsidR="006927DB" w:rsidRPr="00FD5189" w:rsidRDefault="006927DB" w:rsidP="006927DB">
      <w:pPr>
        <w:autoSpaceDE w:val="0"/>
        <w:autoSpaceDN w:val="0"/>
        <w:adjustRightInd w:val="0"/>
        <w:jc w:val="both"/>
        <w:rPr>
          <w:color w:val="000000"/>
          <w:sz w:val="16"/>
          <w:szCs w:val="16"/>
        </w:rPr>
      </w:pPr>
    </w:p>
    <w:p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rsidR="00B57156" w:rsidRPr="00FD5189" w:rsidRDefault="00B57156" w:rsidP="00C80DF7">
      <w:pPr>
        <w:autoSpaceDE w:val="0"/>
        <w:autoSpaceDN w:val="0"/>
        <w:adjustRightInd w:val="0"/>
        <w:jc w:val="both"/>
        <w:rPr>
          <w:color w:val="000000"/>
          <w:sz w:val="16"/>
          <w:szCs w:val="16"/>
        </w:rPr>
      </w:pPr>
    </w:p>
    <w:p w:rsidR="006927DB" w:rsidRPr="00FD5189"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MAY 2</w:t>
      </w:r>
      <w:r w:rsidRPr="00FD5189">
        <w:rPr>
          <w:color w:val="000000"/>
          <w:sz w:val="16"/>
          <w:szCs w:val="16"/>
        </w:rPr>
        <w:t>0</w:t>
      </w:r>
      <w:r>
        <w:rPr>
          <w:color w:val="000000"/>
          <w:sz w:val="16"/>
          <w:szCs w:val="16"/>
        </w:rPr>
        <w:t>1</w:t>
      </w:r>
      <w:r w:rsidR="003C20BE">
        <w:rPr>
          <w:color w:val="000000"/>
          <w:sz w:val="16"/>
          <w:szCs w:val="16"/>
        </w:rPr>
        <w:t>6</w:t>
      </w:r>
      <w:r w:rsidRPr="00FD5189">
        <w:rPr>
          <w:color w:val="000000"/>
          <w:sz w:val="16"/>
          <w:szCs w:val="16"/>
        </w:rPr>
        <w:br/>
      </w:r>
    </w:p>
    <w:p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 xml:space="preserve">252.205-7000 </w:t>
      </w:r>
      <w:r w:rsidR="00326161" w:rsidRPr="00FD5189">
        <w:rPr>
          <w:b/>
          <w:color w:val="000000"/>
          <w:sz w:val="16"/>
          <w:szCs w:val="16"/>
        </w:rPr>
        <w:t xml:space="preserve"> </w:t>
      </w:r>
      <w:r w:rsidRPr="00FD5189">
        <w:rPr>
          <w:b/>
          <w:color w:val="000000"/>
          <w:sz w:val="16"/>
          <w:szCs w:val="16"/>
        </w:rPr>
        <w:t>PROVISION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rsidR="00B57156" w:rsidRDefault="00B57156" w:rsidP="00C80DF7">
      <w:pPr>
        <w:autoSpaceDE w:val="0"/>
        <w:autoSpaceDN w:val="0"/>
        <w:adjustRightInd w:val="0"/>
        <w:jc w:val="both"/>
        <w:rPr>
          <w:color w:val="000000"/>
          <w:sz w:val="16"/>
          <w:szCs w:val="16"/>
        </w:rPr>
      </w:pPr>
    </w:p>
    <w:p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THE GOVERNMENT </w:t>
      </w:r>
    </w:p>
    <w:p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w:t>
      </w:r>
      <w:r w:rsidR="0007257D">
        <w:rPr>
          <w:sz w:val="16"/>
          <w:szCs w:val="16"/>
        </w:rPr>
        <w:t>22</w:t>
      </w:r>
    </w:p>
    <w:p w:rsidR="003C20BE" w:rsidRDefault="003C20BE" w:rsidP="00C80DF7">
      <w:pPr>
        <w:autoSpaceDE w:val="0"/>
        <w:autoSpaceDN w:val="0"/>
        <w:adjustRightInd w:val="0"/>
        <w:jc w:val="both"/>
        <w:rPr>
          <w:color w:val="000000"/>
          <w:sz w:val="16"/>
          <w:szCs w:val="16"/>
        </w:rPr>
      </w:pPr>
    </w:p>
    <w:p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rsidR="00B657C8" w:rsidRDefault="00B657C8" w:rsidP="00C80DF7">
      <w:pPr>
        <w:pStyle w:val="ListParagraph"/>
        <w:ind w:left="0"/>
        <w:rPr>
          <w:sz w:val="16"/>
          <w:szCs w:val="16"/>
        </w:rPr>
      </w:pPr>
    </w:p>
    <w:p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rsidR="00D50250" w:rsidRDefault="00D50250" w:rsidP="00D50250">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252.211-7007 </w:t>
      </w:r>
      <w:r w:rsidR="00326161" w:rsidRPr="00B657C8">
        <w:rPr>
          <w:b/>
          <w:sz w:val="16"/>
          <w:szCs w:val="16"/>
        </w:rPr>
        <w:t xml:space="preserve"> </w:t>
      </w:r>
      <w:r w:rsidR="006843BE" w:rsidRPr="00B657C8">
        <w:rPr>
          <w:b/>
          <w:sz w:val="16"/>
          <w:szCs w:val="16"/>
        </w:rPr>
        <w:t>REPORTING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252.215-7002 </w:t>
      </w:r>
      <w:r w:rsidR="00326161" w:rsidRPr="00B657C8">
        <w:rPr>
          <w:b/>
          <w:sz w:val="16"/>
          <w:szCs w:val="16"/>
        </w:rPr>
        <w:t xml:space="preserve"> </w:t>
      </w:r>
      <w:r w:rsidR="006843BE" w:rsidRPr="00B657C8">
        <w:rPr>
          <w:b/>
          <w:sz w:val="16"/>
          <w:szCs w:val="16"/>
        </w:rPr>
        <w:t>COST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252.217-</w:t>
      </w:r>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rsidR="00B57156" w:rsidRDefault="00B57156" w:rsidP="00C80DF7">
      <w:pPr>
        <w:pStyle w:val="ListParagraph"/>
        <w:ind w:left="0"/>
        <w:rPr>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D50250" w:rsidRDefault="00D50250" w:rsidP="00C80DF7">
      <w:pPr>
        <w:pStyle w:val="ListParagraph"/>
        <w:ind w:left="0"/>
        <w:rPr>
          <w:b/>
          <w:sz w:val="16"/>
          <w:szCs w:val="16"/>
        </w:rPr>
      </w:pPr>
    </w:p>
    <w:p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FD5189" w:rsidRDefault="00FD5189" w:rsidP="00C80DF7">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rsidR="00B57156" w:rsidRDefault="00B57156"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rsidR="00997114" w:rsidRDefault="00997114" w:rsidP="00997114">
      <w:pPr>
        <w:pStyle w:val="ListParagraph"/>
        <w:ind w:left="0"/>
        <w:rPr>
          <w:b/>
          <w:sz w:val="16"/>
          <w:szCs w:val="16"/>
        </w:rPr>
      </w:pPr>
    </w:p>
    <w:p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997114" w:rsidRPr="006F7753">
        <w:rPr>
          <w:sz w:val="16"/>
          <w:szCs w:val="16"/>
        </w:rPr>
        <w:t>20</w:t>
      </w:r>
      <w:r w:rsidR="0007257D">
        <w:rPr>
          <w:sz w:val="16"/>
          <w:szCs w:val="16"/>
        </w:rPr>
        <w:t>20</w:t>
      </w:r>
    </w:p>
    <w:p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20</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252.225-7004 </w:t>
      </w:r>
      <w:r w:rsidR="003F3676" w:rsidRPr="00B657C8">
        <w:rPr>
          <w:b/>
          <w:sz w:val="16"/>
          <w:szCs w:val="16"/>
        </w:rPr>
        <w:t xml:space="preserve"> </w:t>
      </w:r>
      <w:r w:rsidR="006E5FF0" w:rsidRPr="00B657C8">
        <w:rPr>
          <w:b/>
          <w:sz w:val="16"/>
          <w:szCs w:val="16"/>
        </w:rPr>
        <w:t xml:space="preserve">REPORT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B627BF">
        <w:rPr>
          <w:sz w:val="16"/>
          <w:szCs w:val="16"/>
        </w:rPr>
        <w:t>OCT</w:t>
      </w:r>
      <w:r w:rsidR="00F64786">
        <w:rPr>
          <w:sz w:val="16"/>
          <w:szCs w:val="16"/>
        </w:rPr>
        <w:t xml:space="preserve"> </w:t>
      </w:r>
      <w:r w:rsidR="006E5FF0" w:rsidRPr="006F7753">
        <w:rPr>
          <w:sz w:val="16"/>
          <w:szCs w:val="16"/>
        </w:rPr>
        <w:t>20</w:t>
      </w:r>
      <w:r w:rsidR="00B627BF">
        <w:rPr>
          <w:sz w:val="16"/>
          <w:szCs w:val="16"/>
        </w:rPr>
        <w:t>20</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rsidR="00F64786" w:rsidRDefault="00F64786" w:rsidP="00C80DF7">
      <w:pPr>
        <w:pStyle w:val="ListParagraph"/>
        <w:ind w:left="0"/>
        <w:rPr>
          <w:sz w:val="16"/>
          <w:szCs w:val="16"/>
        </w:rPr>
      </w:pPr>
    </w:p>
    <w:p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MAR </w:t>
      </w:r>
      <w:r w:rsidR="000E0A67" w:rsidRPr="006F7753">
        <w:rPr>
          <w:sz w:val="16"/>
          <w:szCs w:val="16"/>
        </w:rPr>
        <w:t xml:space="preserve"> 20</w:t>
      </w:r>
      <w:r w:rsidR="00B627BF">
        <w:rPr>
          <w:sz w:val="16"/>
          <w:szCs w:val="16"/>
        </w:rPr>
        <w:t>22</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252.225-7013</w:t>
      </w:r>
      <w:r w:rsidR="003F3676" w:rsidRPr="00641502">
        <w:rPr>
          <w:b/>
          <w:sz w:val="16"/>
          <w:szCs w:val="16"/>
        </w:rPr>
        <w:t xml:space="preserve"> </w:t>
      </w:r>
      <w:r w:rsidRPr="00641502">
        <w:rPr>
          <w:b/>
          <w:sz w:val="16"/>
          <w:szCs w:val="16"/>
        </w:rPr>
        <w:t xml:space="preserve"> </w:t>
      </w:r>
      <w:r w:rsidR="000E0A67" w:rsidRPr="00641502">
        <w:rPr>
          <w:b/>
          <w:sz w:val="16"/>
          <w:szCs w:val="16"/>
        </w:rPr>
        <w:t>DUTY-FREE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B627BF">
        <w:rPr>
          <w:sz w:val="16"/>
          <w:szCs w:val="16"/>
        </w:rPr>
        <w:t xml:space="preserve">MAR </w:t>
      </w:r>
      <w:r w:rsidR="00B627BF" w:rsidRPr="006F7753">
        <w:rPr>
          <w:sz w:val="16"/>
          <w:szCs w:val="16"/>
        </w:rPr>
        <w:t xml:space="preserve"> 20</w:t>
      </w:r>
      <w:r w:rsidR="00B627BF">
        <w:rPr>
          <w:sz w:val="16"/>
          <w:szCs w:val="16"/>
        </w:rPr>
        <w:t>22</w:t>
      </w:r>
    </w:p>
    <w:p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w:rsidR="00997114" w:rsidRDefault="00997114" w:rsidP="00997114">
      <w:pPr>
        <w:pStyle w:val="ListParagraph"/>
        <w:ind w:left="0"/>
        <w:rPr>
          <w:b/>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Note 5 applies for (d).</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rsidR="000E0A67" w:rsidRPr="00B627BF" w:rsidRDefault="000E0A67" w:rsidP="00B627BF">
      <w:pPr>
        <w:pStyle w:val="ListParagraph"/>
        <w:ind w:left="0" w:firstLine="720"/>
        <w:rPr>
          <w:b/>
          <w:sz w:val="16"/>
          <w:szCs w:val="16"/>
        </w:rPr>
      </w:pPr>
      <w:r w:rsidRPr="00B627BF">
        <w:rPr>
          <w:b/>
          <w:sz w:val="16"/>
          <w:szCs w:val="16"/>
        </w:rPr>
        <w:t>STEEL PLATE</w:t>
      </w:r>
    </w:p>
    <w:p w:rsidR="00590F9E" w:rsidRDefault="00590F9E" w:rsidP="00C80DF7">
      <w:pPr>
        <w:pStyle w:val="ListParagraph"/>
        <w:ind w:left="0"/>
        <w:rPr>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w:t>
      </w:r>
      <w:r w:rsidR="00B627BF">
        <w:rPr>
          <w:b/>
          <w:sz w:val="16"/>
          <w:szCs w:val="16"/>
        </w:rPr>
        <w:t>—</w:t>
      </w:r>
      <w:r>
        <w:rPr>
          <w:b/>
          <w:sz w:val="16"/>
          <w:szCs w:val="16"/>
        </w:rPr>
        <w:t>BASIC</w:t>
      </w:r>
      <w:r w:rsidR="00B627BF">
        <w:rPr>
          <w:sz w:val="16"/>
          <w:szCs w:val="16"/>
        </w:rPr>
        <w:t xml:space="preserve">          MAR</w:t>
      </w:r>
      <w:r>
        <w:rPr>
          <w:sz w:val="16"/>
          <w:szCs w:val="16"/>
        </w:rPr>
        <w:t xml:space="preserve"> 20</w:t>
      </w:r>
      <w:r w:rsidR="00B627BF">
        <w:rPr>
          <w:sz w:val="16"/>
          <w:szCs w:val="16"/>
        </w:rPr>
        <w:t>22</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rsidR="00997114" w:rsidRDefault="00997114" w:rsidP="00997114">
      <w:pPr>
        <w:pStyle w:val="ListParagraph"/>
        <w:ind w:left="0"/>
        <w:rPr>
          <w:b/>
          <w:sz w:val="16"/>
          <w:szCs w:val="16"/>
        </w:rPr>
      </w:pPr>
    </w:p>
    <w:p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rsidR="00997114" w:rsidRDefault="00997114" w:rsidP="00997114">
      <w:pPr>
        <w:pStyle w:val="ListParagraph"/>
        <w:ind w:left="0"/>
        <w:rPr>
          <w:b/>
          <w:sz w:val="16"/>
          <w:szCs w:val="16"/>
        </w:rPr>
      </w:pPr>
    </w:p>
    <w:p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OCT 2020</w:t>
      </w:r>
    </w:p>
    <w:p w:rsidR="00F64786" w:rsidRPr="00F64786" w:rsidRDefault="00F64786" w:rsidP="00F64786">
      <w:pPr>
        <w:pStyle w:val="ListParagraph"/>
        <w:ind w:left="0"/>
        <w:rPr>
          <w:b/>
          <w:sz w:val="16"/>
          <w:szCs w:val="16"/>
        </w:rPr>
      </w:pPr>
      <w:r w:rsidRPr="00F64786">
        <w:rPr>
          <w:b/>
          <w:sz w:val="16"/>
          <w:szCs w:val="16"/>
        </w:rPr>
        <w:t>(DEVIATION 2020-O0006)</w:t>
      </w:r>
    </w:p>
    <w:p w:rsidR="00F64786" w:rsidRDefault="00F64786" w:rsidP="00F64786">
      <w:pPr>
        <w:pStyle w:val="ListParagraph"/>
        <w:ind w:left="0"/>
        <w:rPr>
          <w:b/>
          <w:sz w:val="16"/>
          <w:szCs w:val="16"/>
        </w:rPr>
      </w:pPr>
    </w:p>
    <w:p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252.227-7014</w:t>
      </w:r>
      <w:r w:rsidR="003F3676" w:rsidRPr="00641502">
        <w:rPr>
          <w:b/>
          <w:sz w:val="16"/>
          <w:szCs w:val="16"/>
        </w:rPr>
        <w:t xml:space="preserve"> </w:t>
      </w:r>
      <w:r w:rsidRPr="00641502">
        <w:rPr>
          <w:b/>
          <w:sz w:val="16"/>
          <w:szCs w:val="16"/>
        </w:rPr>
        <w:t xml:space="preserve"> </w:t>
      </w:r>
      <w:r w:rsidR="005D4343" w:rsidRPr="00641502">
        <w:rPr>
          <w:b/>
          <w:sz w:val="16"/>
          <w:szCs w:val="16"/>
        </w:rPr>
        <w:t>RIGHTS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997114" w:rsidRPr="006F7753" w:rsidRDefault="00997114" w:rsidP="00997114">
      <w:pPr>
        <w:pStyle w:val="ListParagraph"/>
        <w:ind w:left="0"/>
        <w:rPr>
          <w:sz w:val="16"/>
          <w:szCs w:val="16"/>
        </w:rPr>
      </w:pPr>
      <w:r w:rsidRPr="00641502">
        <w:rPr>
          <w:b/>
          <w:sz w:val="16"/>
          <w:szCs w:val="16"/>
        </w:rPr>
        <w:t>252.227-701</w:t>
      </w:r>
      <w:r>
        <w:rPr>
          <w:b/>
          <w:sz w:val="16"/>
          <w:szCs w:val="16"/>
        </w:rPr>
        <w:t>5</w:t>
      </w:r>
      <w:r w:rsidRPr="00641502">
        <w:rPr>
          <w:b/>
          <w:sz w:val="16"/>
          <w:szCs w:val="16"/>
        </w:rPr>
        <w:t xml:space="preserve">  TECHNICAL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rsidR="00997114" w:rsidRDefault="00997114" w:rsidP="00C80DF7">
      <w:pPr>
        <w:pStyle w:val="ListParagraph"/>
        <w:ind w:left="0"/>
        <w:rPr>
          <w:b/>
          <w:sz w:val="16"/>
          <w:szCs w:val="16"/>
        </w:rPr>
      </w:pPr>
    </w:p>
    <w:p w:rsidR="005F123D"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p>
    <w:p w:rsidR="006843BE" w:rsidRPr="006F7753" w:rsidRDefault="006843BE" w:rsidP="00C80DF7">
      <w:pPr>
        <w:pStyle w:val="ListParagraph"/>
        <w:ind w:left="0"/>
        <w:rPr>
          <w:sz w:val="16"/>
          <w:szCs w:val="16"/>
        </w:rPr>
      </w:pPr>
      <w:r w:rsidRPr="006F7753">
        <w:rPr>
          <w:sz w:val="16"/>
          <w:szCs w:val="16"/>
        </w:rPr>
        <w:tab/>
      </w:r>
    </w:p>
    <w:p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00F64786" w:rsidRPr="006F7753">
        <w:rPr>
          <w:sz w:val="16"/>
          <w:szCs w:val="16"/>
        </w:rPr>
        <w:t>201</w:t>
      </w:r>
      <w:r w:rsidR="00F64786">
        <w:rPr>
          <w:sz w:val="16"/>
          <w:szCs w:val="16"/>
        </w:rPr>
        <w:t>3</w:t>
      </w:r>
    </w:p>
    <w:p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rsidR="00AC6BFB" w:rsidRDefault="00AC6BFB"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7E2A29">
        <w:rPr>
          <w:sz w:val="16"/>
          <w:szCs w:val="16"/>
        </w:rPr>
        <w:t>APR</w:t>
      </w:r>
      <w:r w:rsidRPr="006F7753">
        <w:rPr>
          <w:sz w:val="16"/>
          <w:szCs w:val="16"/>
        </w:rPr>
        <w:t xml:space="preserve"> 20</w:t>
      </w:r>
      <w:r w:rsidR="007E2A29">
        <w:rPr>
          <w:sz w:val="16"/>
          <w:szCs w:val="16"/>
        </w:rPr>
        <w:t>22</w:t>
      </w:r>
    </w:p>
    <w:p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SUBCONTRACTS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w:t>
      </w:r>
      <w:r w:rsidR="007E2A29">
        <w:rPr>
          <w:sz w:val="16"/>
          <w:szCs w:val="16"/>
        </w:rPr>
        <w:t>AN</w:t>
      </w:r>
      <w:r w:rsidRPr="006F7753">
        <w:rPr>
          <w:sz w:val="16"/>
          <w:szCs w:val="16"/>
        </w:rPr>
        <w:t xml:space="preserve"> 20</w:t>
      </w:r>
      <w:r w:rsidR="007E2A29">
        <w:rPr>
          <w:sz w:val="16"/>
          <w:szCs w:val="16"/>
        </w:rPr>
        <w:t>21</w:t>
      </w:r>
    </w:p>
    <w:p w:rsidR="008A0955" w:rsidRDefault="008A0955" w:rsidP="00C80DF7">
      <w:pPr>
        <w:pStyle w:val="ListParagraph"/>
        <w:ind w:left="0"/>
        <w:rPr>
          <w:sz w:val="16"/>
          <w:szCs w:val="16"/>
        </w:rPr>
      </w:pPr>
    </w:p>
    <w:p w:rsidR="008A0955" w:rsidRPr="006F7753" w:rsidRDefault="008A0955" w:rsidP="008A0955">
      <w:pPr>
        <w:pStyle w:val="ListParagraph"/>
        <w:ind w:left="0"/>
        <w:rPr>
          <w:sz w:val="16"/>
          <w:szCs w:val="16"/>
        </w:rPr>
      </w:pPr>
      <w:r>
        <w:rPr>
          <w:b/>
          <w:sz w:val="16"/>
          <w:szCs w:val="16"/>
        </w:rPr>
        <w:t>252.244-7001</w:t>
      </w:r>
      <w:r w:rsidRPr="00641502">
        <w:rPr>
          <w:b/>
          <w:sz w:val="16"/>
          <w:szCs w:val="16"/>
        </w:rPr>
        <w:t xml:space="preserve">  </w:t>
      </w:r>
      <w:r>
        <w:rPr>
          <w:b/>
          <w:sz w:val="16"/>
          <w:szCs w:val="16"/>
        </w:rPr>
        <w:t xml:space="preserve">CONTRACTOR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MAR</w:t>
      </w:r>
      <w:r w:rsidRPr="006F7753">
        <w:rPr>
          <w:sz w:val="16"/>
          <w:szCs w:val="16"/>
        </w:rPr>
        <w:t xml:space="preserve"> 201</w:t>
      </w:r>
      <w:r>
        <w:rPr>
          <w:sz w:val="16"/>
          <w:szCs w:val="16"/>
        </w:rPr>
        <w:t>4</w:t>
      </w:r>
    </w:p>
    <w:p w:rsidR="008A0955" w:rsidRDefault="008A0955" w:rsidP="008A0955">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252.245-7001</w:t>
      </w:r>
      <w:r w:rsidR="003F3676" w:rsidRPr="00641502">
        <w:rPr>
          <w:b/>
          <w:sz w:val="16"/>
          <w:szCs w:val="16"/>
        </w:rPr>
        <w:t xml:space="preserve"> </w:t>
      </w:r>
      <w:r w:rsidRPr="00641502">
        <w:rPr>
          <w:b/>
          <w:sz w:val="16"/>
          <w:szCs w:val="16"/>
        </w:rPr>
        <w:t xml:space="preserve"> TAGGING,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rsidR="00166F3A" w:rsidRDefault="00166F3A" w:rsidP="00C80DF7">
      <w:pPr>
        <w:pStyle w:val="ListParagraph"/>
        <w:ind w:left="0"/>
        <w:rPr>
          <w:sz w:val="16"/>
          <w:szCs w:val="16"/>
        </w:rPr>
      </w:pPr>
    </w:p>
    <w:p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rsidR="00166F3A" w:rsidRDefault="00166F3A" w:rsidP="00C80DF7">
      <w:pPr>
        <w:pStyle w:val="ListParagraph"/>
        <w:ind w:left="0"/>
        <w:rPr>
          <w:sz w:val="16"/>
          <w:szCs w:val="16"/>
        </w:rPr>
      </w:pPr>
    </w:p>
    <w:p w:rsidR="001D6447" w:rsidRDefault="001D6447" w:rsidP="00C80DF7">
      <w:pPr>
        <w:pStyle w:val="ListParagraph"/>
        <w:ind w:left="0"/>
        <w:rPr>
          <w:b/>
          <w:sz w:val="16"/>
          <w:szCs w:val="16"/>
        </w:rPr>
      </w:pPr>
    </w:p>
    <w:p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rsidR="007E2A29" w:rsidRDefault="007E2A29" w:rsidP="003303FD">
      <w:pPr>
        <w:pStyle w:val="ListParagraph"/>
        <w:keepNext/>
        <w:widowControl/>
        <w:ind w:left="0"/>
        <w:rPr>
          <w:sz w:val="16"/>
          <w:szCs w:val="16"/>
        </w:rPr>
      </w:pPr>
    </w:p>
    <w:p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-70</w:t>
      </w:r>
      <w:r>
        <w:rPr>
          <w:b/>
          <w:sz w:val="16"/>
          <w:szCs w:val="16"/>
        </w:rPr>
        <w:t>06</w:t>
      </w:r>
      <w:r w:rsidRPr="000974A0">
        <w:rPr>
          <w:b/>
          <w:sz w:val="16"/>
          <w:szCs w:val="16"/>
        </w:rPr>
        <w:t xml:space="preserve">  </w:t>
      </w:r>
      <w:r>
        <w:rPr>
          <w:b/>
          <w:sz w:val="16"/>
          <w:szCs w:val="16"/>
        </w:rPr>
        <w:t>WARRANTY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rsidR="007E2A29" w:rsidRDefault="007E2A29" w:rsidP="007E2A29">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rsidR="007E2A29" w:rsidRDefault="007E2A29" w:rsidP="007E2A29">
      <w:pPr>
        <w:pStyle w:val="ListParagraph"/>
        <w:ind w:left="0"/>
        <w:rPr>
          <w:b/>
          <w:sz w:val="16"/>
          <w:szCs w:val="16"/>
        </w:rPr>
      </w:pPr>
    </w:p>
    <w:p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rsidR="00166F3A" w:rsidRDefault="00166F3A" w:rsidP="00C80DF7">
      <w:pPr>
        <w:pStyle w:val="ListParagraph"/>
        <w:ind w:left="0"/>
        <w:rPr>
          <w:sz w:val="16"/>
          <w:szCs w:val="16"/>
        </w:rPr>
      </w:pPr>
    </w:p>
    <w:p w:rsidR="00663E01" w:rsidRDefault="00663E01" w:rsidP="00C80DF7">
      <w:pPr>
        <w:pStyle w:val="ListParagraph"/>
        <w:ind w:left="0"/>
        <w:rPr>
          <w:sz w:val="16"/>
          <w:szCs w:val="16"/>
        </w:rPr>
      </w:pPr>
    </w:p>
    <w:p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2" w:history="1">
        <w:r w:rsidRPr="00663E01">
          <w:rPr>
            <w:rStyle w:val="Hyperlink"/>
            <w:b w:val="0"/>
            <w:i w:val="0"/>
            <w:sz w:val="16"/>
            <w:szCs w:val="16"/>
          </w:rPr>
          <w:t>Covered Defense Information</w:t>
        </w:r>
      </w:hyperlink>
      <w:r w:rsidRPr="00663E01">
        <w:rPr>
          <w:b w:val="0"/>
          <w:i w:val="0"/>
          <w:sz w:val="16"/>
          <w:szCs w:val="16"/>
        </w:rPr>
        <w:t> and </w:t>
      </w:r>
      <w:hyperlink r:id="rId13"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14" w:history="1">
        <w:r w:rsidRPr="00663E01">
          <w:rPr>
            <w:rStyle w:val="Hyperlink"/>
            <w:b w:val="0"/>
            <w:i w:val="0"/>
            <w:sz w:val="16"/>
            <w:szCs w:val="16"/>
          </w:rPr>
          <w:t>Requirements</w:t>
        </w:r>
      </w:hyperlink>
      <w:r w:rsidRPr="00663E01">
        <w:rPr>
          <w:b w:val="0"/>
          <w:i w:val="0"/>
          <w:sz w:val="16"/>
          <w:szCs w:val="16"/>
        </w:rPr>
        <w:t xml:space="preserve"> for </w:t>
      </w:r>
      <w:r w:rsidRPr="00663E01">
        <w:rPr>
          <w:b w:val="0"/>
          <w:i w:val="0"/>
          <w:sz w:val="16"/>
          <w:szCs w:val="16"/>
        </w:rPr>
        <w:lastRenderedPageBreak/>
        <w:t>Controlled Unclassified Information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15"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r:id="rId16"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A review of a contractor's </w:t>
      </w:r>
      <w:hyperlink r:id="rId17" w:history="1">
        <w:r w:rsidRPr="00663E01">
          <w:rPr>
            <w:rStyle w:val="Hyperlink"/>
            <w:b w:val="0"/>
            <w:i w:val="0"/>
            <w:sz w:val="16"/>
            <w:szCs w:val="16"/>
          </w:rPr>
          <w:t>Basic Assessment</w:t>
        </w:r>
      </w:hyperlink>
      <w:r w:rsidRPr="00663E01">
        <w:rPr>
          <w:b w:val="0"/>
          <w:i w:val="0"/>
          <w:sz w:val="16"/>
          <w:szCs w:val="16"/>
        </w:rPr>
        <w: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18"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19" w:history="1">
        <w:r w:rsidRPr="00663E01">
          <w:rPr>
            <w:rStyle w:val="Hyperlink"/>
            <w:b w:val="0"/>
            <w:i w:val="0"/>
            <w:sz w:val="16"/>
            <w:szCs w:val="16"/>
          </w:rPr>
          <w:t>Covered Defense Information</w:t>
        </w:r>
      </w:hyperlink>
      <w:r w:rsidRPr="00663E01">
        <w:rPr>
          <w:b w:val="0"/>
          <w:i w:val="0"/>
          <w:sz w:val="16"/>
          <w:szCs w:val="16"/>
        </w:rPr>
        <w:t> and </w:t>
      </w:r>
      <w:hyperlink r:id="rId20" w:history="1">
        <w:r w:rsidRPr="00663E01">
          <w:rPr>
            <w:rStyle w:val="Hyperlink"/>
            <w:b w:val="0"/>
            <w:i w:val="0"/>
            <w:sz w:val="16"/>
            <w:szCs w:val="16"/>
          </w:rPr>
          <w:t>Cyber Incident</w:t>
        </w:r>
      </w:hyperlink>
      <w:r w:rsidRPr="00663E01">
        <w:rPr>
          <w:b w:val="0"/>
          <w:i w:val="0"/>
          <w:sz w:val="16"/>
          <w:szCs w:val="16"/>
        </w:rPr>
        <w:t> Reporting, of this contract.</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if necessary.</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1"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2"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email shall include the following information:</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3"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(b)(1)(i)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r w:rsidR="00663E01" w:rsidRPr="00663E01"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rsidR="00663E01" w:rsidRPr="00663E01" w:rsidRDefault="00663E01" w:rsidP="00663E01">
            <w:pPr>
              <w:pStyle w:val="BodyText"/>
              <w:spacing w:before="120" w:after="120"/>
              <w:jc w:val="both"/>
              <w:rPr>
                <w:b w:val="0"/>
                <w:i w:val="0"/>
                <w:sz w:val="16"/>
                <w:szCs w:val="16"/>
              </w:rPr>
            </w:pPr>
          </w:p>
        </w:tc>
      </w:tr>
    </w:tbl>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24"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lastRenderedPageBreak/>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(DoDAAC)).</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25"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26"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27"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28"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29" w:history="1">
        <w:r w:rsidRPr="00663E01">
          <w:rPr>
            <w:rStyle w:val="Hyperlink"/>
            <w:b w:val="0"/>
            <w:i w:val="0"/>
            <w:sz w:val="16"/>
            <w:szCs w:val="16"/>
          </w:rPr>
          <w:t>subcontracts</w:t>
        </w:r>
      </w:hyperlink>
      <w:r w:rsidRPr="00663E01">
        <w:rPr>
          <w:b w:val="0"/>
          <w:i w:val="0"/>
          <w:sz w:val="16"/>
          <w:szCs w:val="16"/>
        </w:rPr>
        <w:t> and other contractual instruments, including </w:t>
      </w:r>
      <w:hyperlink r:id="rId30" w:history="1">
        <w:r w:rsidRPr="00663E01">
          <w:rPr>
            <w:rStyle w:val="Hyperlink"/>
            <w:b w:val="0"/>
            <w:i w:val="0"/>
            <w:sz w:val="16"/>
            <w:szCs w:val="16"/>
          </w:rPr>
          <w:t>subcontracts</w:t>
        </w:r>
      </w:hyperlink>
      <w:r w:rsidRPr="00663E01">
        <w:rPr>
          <w:b w:val="0"/>
          <w:i w:val="0"/>
          <w:sz w:val="16"/>
          <w:szCs w:val="16"/>
        </w:rPr>
        <w:t> for the acquisition of commercial </w:t>
      </w:r>
      <w:hyperlink r:id="rId31" w:history="1">
        <w:r w:rsidRPr="00663E01">
          <w:rPr>
            <w:rStyle w:val="Hyperlink"/>
            <w:b w:val="0"/>
            <w:i w:val="0"/>
            <w:sz w:val="16"/>
            <w:szCs w:val="16"/>
          </w:rPr>
          <w:t>items</w:t>
        </w:r>
      </w:hyperlink>
      <w:r w:rsidRPr="00663E01">
        <w:rPr>
          <w:b w:val="0"/>
          <w:i w:val="0"/>
          <w:sz w:val="16"/>
          <w:szCs w:val="16"/>
        </w:rPr>
        <w:t> (excluding COTS </w:t>
      </w:r>
      <w:hyperlink r:id="rId32" w:history="1">
        <w:r w:rsidRPr="00663E01">
          <w:rPr>
            <w:rStyle w:val="Hyperlink"/>
            <w:b w:val="0"/>
            <w:i w:val="0"/>
            <w:sz w:val="16"/>
            <w:szCs w:val="16"/>
          </w:rPr>
          <w:t>items</w:t>
        </w:r>
      </w:hyperlink>
      <w:r w:rsidRPr="00663E01">
        <w:rPr>
          <w:b w:val="0"/>
          <w:i w:val="0"/>
          <w:sz w:val="16"/>
          <w:szCs w:val="16"/>
        </w:rPr>
        <w: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3"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34"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35"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36" w:history="1">
        <w:r w:rsidRPr="00663E01">
          <w:rPr>
            <w:rStyle w:val="Hyperlink"/>
            <w:b w:val="0"/>
            <w:i w:val="0"/>
            <w:sz w:val="16"/>
            <w:szCs w:val="16"/>
          </w:rPr>
          <w:t>Basic</w:t>
        </w:r>
      </w:hyperlink>
      <w:r w:rsidRPr="00663E01">
        <w:rPr>
          <w:b w:val="0"/>
          <w:i w:val="0"/>
          <w:sz w:val="16"/>
          <w:szCs w:val="16"/>
        </w:rPr>
        <w:t> NIST SP 800-171 DoD Assessment, as described in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for all covered contractor </w:t>
      </w:r>
      <w:hyperlink r:id="rId37"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38"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39" w:history="1">
        <w:r w:rsidRPr="00663E01">
          <w:rPr>
            <w:rStyle w:val="Hyperlink"/>
            <w:b w:val="0"/>
            <w:i w:val="0"/>
            <w:sz w:val="16"/>
            <w:szCs w:val="16"/>
          </w:rPr>
          <w:t>subcontractor</w:t>
        </w:r>
      </w:hyperlink>
      <w:r w:rsidRPr="00663E01">
        <w:rPr>
          <w:b w:val="0"/>
          <w:i w:val="0"/>
          <w:sz w:val="16"/>
          <w:szCs w:val="16"/>
        </w:rPr>
        <w:t> may conduct and submit a </w:t>
      </w:r>
      <w:hyperlink r:id="rId40"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rsidR="006875F5" w:rsidRPr="006F7753" w:rsidRDefault="006875F5" w:rsidP="00FD5189">
      <w:pPr>
        <w:pStyle w:val="BodyText"/>
        <w:spacing w:before="120" w:after="120"/>
        <w:jc w:val="both"/>
        <w:rPr>
          <w:b w:val="0"/>
          <w:i w:val="0"/>
          <w:sz w:val="16"/>
          <w:szCs w:val="16"/>
        </w:rPr>
      </w:pPr>
    </w:p>
    <w:sectPr w:rsidR="006875F5" w:rsidRPr="006F7753" w:rsidSect="001D6447">
      <w:footerReference w:type="default" r:id="rId41"/>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46B" w:rsidRDefault="00DD546B">
      <w:r>
        <w:separator/>
      </w:r>
    </w:p>
  </w:endnote>
  <w:endnote w:type="continuationSeparator" w:id="0">
    <w:p w:rsidR="00DD546B" w:rsidRDefault="00D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84908"/>
      <w:docPartObj>
        <w:docPartGallery w:val="Page Numbers (Bottom of Page)"/>
        <w:docPartUnique/>
      </w:docPartObj>
    </w:sdtPr>
    <w:sdtEndPr>
      <w:rPr>
        <w:sz w:val="18"/>
        <w:szCs w:val="18"/>
      </w:rPr>
    </w:sdtEndPr>
    <w:sdtContent>
      <w:p w:rsidR="008F7D77" w:rsidRDefault="008F7D77">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5F5189">
          <w:rPr>
            <w:noProof/>
            <w:sz w:val="18"/>
            <w:szCs w:val="18"/>
          </w:rPr>
          <w:t>4</w:t>
        </w:r>
        <w:r w:rsidRPr="00EC3C60">
          <w:rPr>
            <w:sz w:val="18"/>
            <w:szCs w:val="18"/>
          </w:rPr>
          <w:fldChar w:fldCharType="end"/>
        </w:r>
      </w:p>
    </w:sdtContent>
  </w:sdt>
  <w:p w:rsidR="008F7D77" w:rsidRPr="009A5125" w:rsidRDefault="008F7D77" w:rsidP="00520841">
    <w:pPr>
      <w:rPr>
        <w:sz w:val="16"/>
        <w:szCs w:val="16"/>
      </w:rPr>
    </w:pPr>
  </w:p>
  <w:p w:rsidR="008F7D77" w:rsidRDefault="008F7D77"/>
  <w:p w:rsidR="008F7D77" w:rsidRPr="001D6447" w:rsidRDefault="001B7E43">
    <w:pPr>
      <w:rPr>
        <w:sz w:val="20"/>
      </w:rPr>
    </w:pPr>
    <w:r>
      <w:rPr>
        <w:sz w:val="20"/>
      </w:rPr>
      <w:t>April 8, 2023</w:t>
    </w:r>
    <w:r w:rsidR="008F7D77" w:rsidRPr="001D6447">
      <w:rPr>
        <w:sz w:val="20"/>
      </w:rPr>
      <w:t xml:space="preserve"> </w:t>
    </w:r>
    <w:r w:rsidR="005F5189">
      <w:rPr>
        <w:sz w:val="20"/>
      </w:rPr>
      <w:t>Rev. 1</w:t>
    </w:r>
  </w:p>
  <w:p w:rsidR="008F7D77" w:rsidRDefault="008F7D77"/>
  <w:p w:rsidR="008F7D77" w:rsidRDefault="008F7D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46B" w:rsidRDefault="00DD546B">
      <w:r>
        <w:separator/>
      </w:r>
    </w:p>
  </w:footnote>
  <w:footnote w:type="continuationSeparator" w:id="0">
    <w:p w:rsidR="00DD546B" w:rsidRDefault="00DD5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6"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8"/>
  </w:num>
  <w:num w:numId="5">
    <w:abstractNumId w:val="0"/>
  </w:num>
  <w:num w:numId="6">
    <w:abstractNumId w:val="7"/>
  </w:num>
  <w:num w:numId="7">
    <w:abstractNumId w:val="3"/>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E6F4E"/>
    <w:rsid w:val="000F432F"/>
    <w:rsid w:val="000F4AA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B7E43"/>
    <w:rsid w:val="001C07C7"/>
    <w:rsid w:val="001C0E6F"/>
    <w:rsid w:val="001C683A"/>
    <w:rsid w:val="001D1714"/>
    <w:rsid w:val="001D408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4C50"/>
    <w:rsid w:val="002754AF"/>
    <w:rsid w:val="00290264"/>
    <w:rsid w:val="0029341B"/>
    <w:rsid w:val="002A0E4D"/>
    <w:rsid w:val="002A6041"/>
    <w:rsid w:val="002B07A0"/>
    <w:rsid w:val="002C4D63"/>
    <w:rsid w:val="002C5C0E"/>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5032"/>
    <w:rsid w:val="0033520F"/>
    <w:rsid w:val="00335B11"/>
    <w:rsid w:val="00336C67"/>
    <w:rsid w:val="00342CE6"/>
    <w:rsid w:val="00343803"/>
    <w:rsid w:val="0034673F"/>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053F"/>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6006"/>
    <w:rsid w:val="004A612B"/>
    <w:rsid w:val="004B059D"/>
    <w:rsid w:val="004B2679"/>
    <w:rsid w:val="004B3AF7"/>
    <w:rsid w:val="004B60F7"/>
    <w:rsid w:val="004B6809"/>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018E"/>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0C34"/>
    <w:rsid w:val="006C4736"/>
    <w:rsid w:val="006C6E30"/>
    <w:rsid w:val="006C7821"/>
    <w:rsid w:val="006D1318"/>
    <w:rsid w:val="006D3354"/>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F44"/>
    <w:rsid w:val="007979B2"/>
    <w:rsid w:val="00797D13"/>
    <w:rsid w:val="007A4CFD"/>
    <w:rsid w:val="007B5C4E"/>
    <w:rsid w:val="007B6006"/>
    <w:rsid w:val="007B624C"/>
    <w:rsid w:val="007C1115"/>
    <w:rsid w:val="007C160D"/>
    <w:rsid w:val="007C32F5"/>
    <w:rsid w:val="007D2526"/>
    <w:rsid w:val="007D4FDA"/>
    <w:rsid w:val="007E1C6D"/>
    <w:rsid w:val="007E2A29"/>
    <w:rsid w:val="007E4380"/>
    <w:rsid w:val="007E4599"/>
    <w:rsid w:val="007E51B1"/>
    <w:rsid w:val="007E6300"/>
    <w:rsid w:val="007F31DD"/>
    <w:rsid w:val="007F70E9"/>
    <w:rsid w:val="00800875"/>
    <w:rsid w:val="00800902"/>
    <w:rsid w:val="00800FB4"/>
    <w:rsid w:val="00802CE8"/>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6FA4"/>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735"/>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404E"/>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5D07"/>
    <w:rsid w:val="00D5671C"/>
    <w:rsid w:val="00D5759A"/>
    <w:rsid w:val="00D60ADD"/>
    <w:rsid w:val="00D61C81"/>
    <w:rsid w:val="00D6214D"/>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37379"/>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15F6"/>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9B5"/>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EDD3AC"/>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h.gomez@navy.mil" TargetMode="External"/><Relationship Id="rId13"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18"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3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17"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5"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29"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quisition.gov/browse/index/far" TargetMode="External"/><Relationship Id="rId24"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3"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8" Type="http://schemas.openxmlformats.org/officeDocument/2006/relationships/hyperlink" Target="https://www.law.cornell.edu/topn/freedom_of_information_act" TargetMode="External"/><Relationship Id="rId36"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10" Type="http://schemas.openxmlformats.org/officeDocument/2006/relationships/hyperlink" Target="https://www.acquisition.gov/far/" TargetMode="External"/><Relationship Id="rId19"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31"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 Type="http://schemas.openxmlformats.org/officeDocument/2006/relationships/settings" Target="settings.xml"/><Relationship Id="rId9" Type="http://schemas.openxmlformats.org/officeDocument/2006/relationships/hyperlink" Target="mailto:latoya.johnson@navy.mil" TargetMode="External"/><Relationship Id="rId14"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2"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BE8BE-7808-4CC2-AD2B-BB7F2C38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15726</Words>
  <Characters>89643</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105159</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2023-04-07T15:02:00Z</cp:lastPrinted>
  <dcterms:created xsi:type="dcterms:W3CDTF">2023-04-19T19:24:00Z</dcterms:created>
  <dcterms:modified xsi:type="dcterms:W3CDTF">2023-04-19T19:24:00Z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